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C9E84" w14:textId="252D8AE6" w:rsidR="00A14B53" w:rsidRDefault="00881AFD">
      <w:pPr>
        <w:rPr>
          <w:rFonts w:ascii="Arial" w:hAnsi="Arial" w:cs="Arial"/>
          <w:b/>
          <w:bCs/>
          <w:sz w:val="32"/>
          <w:szCs w:val="32"/>
        </w:rPr>
      </w:pPr>
      <w:r w:rsidRPr="00EF222D">
        <w:rPr>
          <w:rFonts w:ascii="Arial" w:hAnsi="Arial" w:cs="Arial"/>
          <w:b/>
          <w:bCs/>
          <w:sz w:val="32"/>
          <w:szCs w:val="32"/>
        </w:rPr>
        <w:t>202</w:t>
      </w:r>
      <w:r w:rsidR="004B2093" w:rsidRPr="00EF222D">
        <w:rPr>
          <w:rFonts w:ascii="Arial" w:hAnsi="Arial" w:cs="Arial"/>
          <w:b/>
          <w:bCs/>
          <w:sz w:val="32"/>
          <w:szCs w:val="32"/>
        </w:rPr>
        <w:t>5</w:t>
      </w:r>
      <w:r w:rsidR="00CD44B9" w:rsidRPr="00EF222D">
        <w:rPr>
          <w:rFonts w:ascii="Arial" w:hAnsi="Arial" w:cs="Arial"/>
          <w:b/>
          <w:bCs/>
          <w:sz w:val="32"/>
          <w:szCs w:val="32"/>
        </w:rPr>
        <w:t xml:space="preserve"> </w:t>
      </w:r>
      <w:r w:rsidR="007B0564" w:rsidRPr="00EF222D">
        <w:rPr>
          <w:rFonts w:ascii="Arial" w:hAnsi="Arial" w:cs="Arial"/>
          <w:b/>
          <w:bCs/>
          <w:sz w:val="32"/>
          <w:szCs w:val="32"/>
        </w:rPr>
        <w:t>Speaking Proposals</w:t>
      </w:r>
      <w:r w:rsidR="00EF222D" w:rsidRPr="00EF222D">
        <w:rPr>
          <w:rFonts w:ascii="Arial" w:hAnsi="Arial" w:cs="Arial"/>
          <w:b/>
          <w:bCs/>
          <w:sz w:val="32"/>
          <w:szCs w:val="32"/>
        </w:rPr>
        <w:t xml:space="preserve"> – Alice Orzechowski CPA CMA EA</w:t>
      </w:r>
    </w:p>
    <w:p w14:paraId="32ABF71F" w14:textId="77777777" w:rsidR="00EF222D" w:rsidRPr="00EF222D" w:rsidRDefault="00EF222D">
      <w:pPr>
        <w:rPr>
          <w:rFonts w:ascii="Arial" w:hAnsi="Arial" w:cs="Arial"/>
          <w:b/>
          <w:bCs/>
          <w:sz w:val="32"/>
          <w:szCs w:val="32"/>
        </w:rPr>
      </w:pPr>
    </w:p>
    <w:p w14:paraId="1C1540B4" w14:textId="77777777" w:rsidR="00215CD6" w:rsidRPr="007D387F" w:rsidRDefault="00215CD6" w:rsidP="00215CD6">
      <w:pPr>
        <w:rPr>
          <w:rFonts w:ascii="Arial" w:hAnsi="Arial" w:cs="Arial"/>
          <w:b/>
          <w:bCs/>
        </w:rPr>
      </w:pPr>
      <w:r>
        <w:rPr>
          <w:rFonts w:ascii="Arial" w:hAnsi="Arial" w:cs="Arial"/>
          <w:b/>
          <w:bCs/>
        </w:rPr>
        <w:t xml:space="preserve">Avoiding Penalties on Retirement Plan or </w:t>
      </w:r>
      <w:r w:rsidRPr="007D387F">
        <w:rPr>
          <w:rFonts w:ascii="Arial" w:hAnsi="Arial" w:cs="Arial"/>
          <w:b/>
          <w:bCs/>
        </w:rPr>
        <w:t>IRA</w:t>
      </w:r>
      <w:r>
        <w:rPr>
          <w:rFonts w:ascii="Arial" w:hAnsi="Arial" w:cs="Arial"/>
          <w:b/>
          <w:bCs/>
        </w:rPr>
        <w:t xml:space="preserve"> Distributions and Missed Rollovers</w:t>
      </w:r>
    </w:p>
    <w:p w14:paraId="7660091D" w14:textId="77777777" w:rsidR="00215CD6" w:rsidRDefault="00215CD6" w:rsidP="00215CD6">
      <w:pPr>
        <w:rPr>
          <w:rFonts w:ascii="Arial" w:hAnsi="Arial" w:cs="Arial"/>
        </w:rPr>
      </w:pPr>
      <w:r>
        <w:rPr>
          <w:rFonts w:ascii="Arial" w:hAnsi="Arial" w:cs="Arial"/>
        </w:rPr>
        <w:t xml:space="preserve">There are rules about taking distributions from a retirement plan or an IRA. A 10% premature distribution penalty is usually assessed on “early” distributions. This session will discuss the exceptions to the 10% penalty. Also discussed will be the rollover rules for </w:t>
      </w:r>
      <w:proofErr w:type="gramStart"/>
      <w:r>
        <w:rPr>
          <w:rFonts w:ascii="Arial" w:hAnsi="Arial" w:cs="Arial"/>
        </w:rPr>
        <w:t>distributions</w:t>
      </w:r>
      <w:proofErr w:type="gramEnd"/>
      <w:r>
        <w:rPr>
          <w:rFonts w:ascii="Arial" w:hAnsi="Arial" w:cs="Arial"/>
        </w:rPr>
        <w:t xml:space="preserve"> and how to correct a missed rollover.</w:t>
      </w:r>
    </w:p>
    <w:p w14:paraId="181E335E"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15794841" w14:textId="77777777" w:rsidR="00215CD6" w:rsidRDefault="00215CD6" w:rsidP="00215CD6">
      <w:pPr>
        <w:pStyle w:val="ListParagraph"/>
        <w:numPr>
          <w:ilvl w:val="0"/>
          <w:numId w:val="3"/>
        </w:numPr>
        <w:rPr>
          <w:rFonts w:ascii="Arial" w:hAnsi="Arial" w:cs="Arial"/>
          <w:sz w:val="24"/>
          <w:szCs w:val="24"/>
        </w:rPr>
      </w:pPr>
      <w:r w:rsidRPr="00544E77">
        <w:rPr>
          <w:rFonts w:ascii="Arial" w:hAnsi="Arial" w:cs="Arial"/>
          <w:sz w:val="24"/>
          <w:szCs w:val="24"/>
        </w:rPr>
        <w:t>Identify the exceptions to the 10% early withdrawal penalty from IRAs &amp; Retirement Plans</w:t>
      </w:r>
    </w:p>
    <w:p w14:paraId="68D595F1" w14:textId="77777777" w:rsidR="00215CD6" w:rsidRPr="00544E77" w:rsidRDefault="00215CD6" w:rsidP="00215CD6">
      <w:pPr>
        <w:pStyle w:val="ListParagraph"/>
        <w:numPr>
          <w:ilvl w:val="0"/>
          <w:numId w:val="3"/>
        </w:numPr>
        <w:rPr>
          <w:rFonts w:ascii="Arial" w:hAnsi="Arial" w:cs="Arial"/>
          <w:sz w:val="24"/>
          <w:szCs w:val="24"/>
        </w:rPr>
      </w:pPr>
      <w:r>
        <w:rPr>
          <w:rFonts w:ascii="Arial" w:hAnsi="Arial" w:cs="Arial"/>
          <w:sz w:val="24"/>
          <w:szCs w:val="24"/>
        </w:rPr>
        <w:t>Determine if your client qualifies for one of the exceptions</w:t>
      </w:r>
    </w:p>
    <w:p w14:paraId="64E61E75" w14:textId="77777777" w:rsidR="00215CD6" w:rsidRPr="00544E77" w:rsidRDefault="00215CD6" w:rsidP="00215CD6">
      <w:pPr>
        <w:pStyle w:val="ListParagraph"/>
        <w:numPr>
          <w:ilvl w:val="0"/>
          <w:numId w:val="3"/>
        </w:numPr>
        <w:rPr>
          <w:rFonts w:ascii="Arial" w:hAnsi="Arial" w:cs="Arial"/>
          <w:sz w:val="24"/>
          <w:szCs w:val="24"/>
        </w:rPr>
      </w:pPr>
      <w:r w:rsidRPr="00544E77">
        <w:rPr>
          <w:rFonts w:ascii="Arial" w:hAnsi="Arial" w:cs="Arial"/>
          <w:sz w:val="24"/>
          <w:szCs w:val="24"/>
        </w:rPr>
        <w:t>Understand the rollover rules and how to correct a missed rollover</w:t>
      </w:r>
    </w:p>
    <w:p w14:paraId="24C14FA4" w14:textId="6B2B5B86" w:rsidR="007B0564" w:rsidRPr="00544E77" w:rsidRDefault="007B0564">
      <w:pPr>
        <w:rPr>
          <w:rFonts w:ascii="Arial" w:hAnsi="Arial" w:cs="Arial"/>
          <w:b/>
          <w:bCs/>
        </w:rPr>
      </w:pPr>
      <w:r w:rsidRPr="00544E77">
        <w:rPr>
          <w:rFonts w:ascii="Arial" w:hAnsi="Arial" w:cs="Arial"/>
          <w:b/>
          <w:bCs/>
        </w:rPr>
        <w:t>Form 4797 – Hands On</w:t>
      </w:r>
    </w:p>
    <w:p w14:paraId="57BE635C" w14:textId="4A91AD1D" w:rsidR="007B0564" w:rsidRDefault="005265E7">
      <w:pPr>
        <w:rPr>
          <w:rFonts w:ascii="Arial" w:hAnsi="Arial" w:cs="Arial"/>
        </w:rPr>
      </w:pPr>
      <w:r w:rsidRPr="00544E77">
        <w:rPr>
          <w:rFonts w:ascii="Arial" w:hAnsi="Arial" w:cs="Arial"/>
        </w:rPr>
        <w:t xml:space="preserve">Form 4797 is the </w:t>
      </w:r>
      <w:r w:rsidR="00CD44B9" w:rsidRPr="00544E77">
        <w:rPr>
          <w:rFonts w:ascii="Arial" w:hAnsi="Arial" w:cs="Arial"/>
        </w:rPr>
        <w:t>Swiss</w:t>
      </w:r>
      <w:r w:rsidRPr="00544E77">
        <w:rPr>
          <w:rFonts w:ascii="Arial" w:hAnsi="Arial" w:cs="Arial"/>
        </w:rPr>
        <w:t xml:space="preserve"> army knife of tax forms - </w:t>
      </w:r>
      <w:proofErr w:type="gramStart"/>
      <w:r w:rsidRPr="00544E77">
        <w:rPr>
          <w:rFonts w:ascii="Arial" w:hAnsi="Arial" w:cs="Arial"/>
        </w:rPr>
        <w:t>a large number of</w:t>
      </w:r>
      <w:proofErr w:type="gramEnd"/>
      <w:r w:rsidRPr="00544E77">
        <w:rPr>
          <w:rFonts w:ascii="Arial" w:hAnsi="Arial" w:cs="Arial"/>
        </w:rPr>
        <w:t xml:space="preserve"> totally different transactions are reported on this form most involv</w:t>
      </w:r>
      <w:r w:rsidR="00CD44B9" w:rsidRPr="00544E77">
        <w:rPr>
          <w:rFonts w:ascii="Arial" w:hAnsi="Arial" w:cs="Arial"/>
        </w:rPr>
        <w:t>ing</w:t>
      </w:r>
      <w:r w:rsidRPr="00544E77">
        <w:rPr>
          <w:rFonts w:ascii="Arial" w:hAnsi="Arial" w:cs="Arial"/>
        </w:rPr>
        <w:t xml:space="preserve"> the disposition of business assets. In this session we will analyze in detail each section of Form 4797 as we hands</w:t>
      </w:r>
      <w:r w:rsidR="00CD44B9" w:rsidRPr="00544E77">
        <w:rPr>
          <w:rFonts w:ascii="Arial" w:hAnsi="Arial" w:cs="Arial"/>
        </w:rPr>
        <w:t>-</w:t>
      </w:r>
      <w:r w:rsidRPr="00544E77">
        <w:rPr>
          <w:rFonts w:ascii="Arial" w:hAnsi="Arial" w:cs="Arial"/>
        </w:rPr>
        <w:t>on correctly enter the sale(s) of asset(s) in that section. Code Sections 1231, 1245, 1250, and 197 will be discussed as well as how to correctly enter the transaction in your tax software.</w:t>
      </w:r>
    </w:p>
    <w:p w14:paraId="56C17510"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0FB71A73" w14:textId="5FBF598F" w:rsidR="005265E7" w:rsidRPr="00544E77" w:rsidRDefault="00250305" w:rsidP="00544E77">
      <w:pPr>
        <w:pStyle w:val="ListParagraph"/>
        <w:numPr>
          <w:ilvl w:val="0"/>
          <w:numId w:val="8"/>
        </w:numPr>
        <w:rPr>
          <w:rFonts w:ascii="Arial" w:hAnsi="Arial" w:cs="Arial"/>
          <w:sz w:val="24"/>
          <w:szCs w:val="24"/>
        </w:rPr>
      </w:pPr>
      <w:r w:rsidRPr="00544E77">
        <w:rPr>
          <w:rFonts w:ascii="Arial" w:hAnsi="Arial" w:cs="Arial"/>
          <w:sz w:val="24"/>
          <w:szCs w:val="24"/>
        </w:rPr>
        <w:t>Understand</w:t>
      </w:r>
      <w:r w:rsidR="005265E7" w:rsidRPr="00544E77">
        <w:rPr>
          <w:rFonts w:ascii="Arial" w:hAnsi="Arial" w:cs="Arial"/>
          <w:sz w:val="24"/>
          <w:szCs w:val="24"/>
        </w:rPr>
        <w:t xml:space="preserve"> Code Section 1231, 1245 and 1250 transactions</w:t>
      </w:r>
    </w:p>
    <w:p w14:paraId="6B8400AE" w14:textId="6183BA04" w:rsidR="005265E7" w:rsidRPr="00544E77" w:rsidRDefault="007B04BB" w:rsidP="00544E77">
      <w:pPr>
        <w:pStyle w:val="ListParagraph"/>
        <w:numPr>
          <w:ilvl w:val="0"/>
          <w:numId w:val="8"/>
        </w:numPr>
        <w:rPr>
          <w:rFonts w:ascii="Arial" w:hAnsi="Arial" w:cs="Arial"/>
          <w:sz w:val="24"/>
          <w:szCs w:val="24"/>
        </w:rPr>
      </w:pPr>
      <w:r w:rsidRPr="00544E77">
        <w:rPr>
          <w:rFonts w:ascii="Arial" w:hAnsi="Arial" w:cs="Arial"/>
          <w:sz w:val="24"/>
          <w:szCs w:val="24"/>
        </w:rPr>
        <w:t>Correctly report the sale of business assets</w:t>
      </w:r>
    </w:p>
    <w:p w14:paraId="15840C1D" w14:textId="014A5C83" w:rsidR="007B04BB" w:rsidRPr="00544E77" w:rsidRDefault="007B04BB" w:rsidP="00544E77">
      <w:pPr>
        <w:pStyle w:val="ListParagraph"/>
        <w:numPr>
          <w:ilvl w:val="0"/>
          <w:numId w:val="8"/>
        </w:numPr>
        <w:rPr>
          <w:rFonts w:ascii="Arial" w:hAnsi="Arial" w:cs="Arial"/>
          <w:sz w:val="24"/>
          <w:szCs w:val="24"/>
        </w:rPr>
      </w:pPr>
      <w:r w:rsidRPr="00544E77">
        <w:rPr>
          <w:rFonts w:ascii="Arial" w:hAnsi="Arial" w:cs="Arial"/>
          <w:sz w:val="24"/>
          <w:szCs w:val="24"/>
        </w:rPr>
        <w:t>Correctly report the sale of business real estate</w:t>
      </w:r>
    </w:p>
    <w:p w14:paraId="1CCBB814" w14:textId="3DA293AD" w:rsidR="007B04BB" w:rsidRPr="00544E77" w:rsidRDefault="00CD44B9" w:rsidP="00544E77">
      <w:pPr>
        <w:pStyle w:val="ListParagraph"/>
        <w:numPr>
          <w:ilvl w:val="0"/>
          <w:numId w:val="8"/>
        </w:numPr>
        <w:rPr>
          <w:rFonts w:ascii="Arial" w:hAnsi="Arial" w:cs="Arial"/>
          <w:sz w:val="24"/>
          <w:szCs w:val="24"/>
        </w:rPr>
      </w:pPr>
      <w:r w:rsidRPr="00544E77">
        <w:rPr>
          <w:rFonts w:ascii="Arial" w:hAnsi="Arial" w:cs="Arial"/>
          <w:sz w:val="24"/>
          <w:szCs w:val="24"/>
        </w:rPr>
        <w:t>Identify how to</w:t>
      </w:r>
      <w:r w:rsidR="007B04BB" w:rsidRPr="00544E77">
        <w:rPr>
          <w:rFonts w:ascii="Arial" w:hAnsi="Arial" w:cs="Arial"/>
          <w:sz w:val="24"/>
          <w:szCs w:val="24"/>
        </w:rPr>
        <w:t xml:space="preserve"> report other business asset transactions on Form 4797</w:t>
      </w:r>
    </w:p>
    <w:p w14:paraId="2E194079" w14:textId="537E8206" w:rsidR="00C2664B" w:rsidRPr="0060694E" w:rsidRDefault="00C2664B">
      <w:pPr>
        <w:rPr>
          <w:rFonts w:ascii="Arial" w:hAnsi="Arial" w:cs="Arial"/>
          <w:b/>
          <w:bCs/>
        </w:rPr>
      </w:pPr>
      <w:bookmarkStart w:id="0" w:name="_Hlk124934509"/>
      <w:r w:rsidRPr="0060694E">
        <w:rPr>
          <w:rFonts w:ascii="Arial" w:hAnsi="Arial" w:cs="Arial"/>
          <w:b/>
          <w:bCs/>
        </w:rPr>
        <w:t>The Life Cycle of a Revocable Living Trust</w:t>
      </w:r>
    </w:p>
    <w:p w14:paraId="597EB268" w14:textId="278A4E73" w:rsidR="00110B80" w:rsidRPr="0060694E" w:rsidRDefault="00110B80" w:rsidP="00110B80">
      <w:pPr>
        <w:pStyle w:val="NoSpacing"/>
        <w:rPr>
          <w:rFonts w:ascii="Arial" w:hAnsi="Arial" w:cs="Arial"/>
          <w:sz w:val="24"/>
          <w:szCs w:val="24"/>
        </w:rPr>
      </w:pPr>
      <w:r w:rsidRPr="0060694E">
        <w:rPr>
          <w:rFonts w:ascii="Arial" w:hAnsi="Arial" w:cs="Arial"/>
          <w:sz w:val="24"/>
          <w:szCs w:val="24"/>
        </w:rPr>
        <w:t>More and more clients are creating revocable living trusts. This session is an in</w:t>
      </w:r>
      <w:r w:rsidR="00CD44B9" w:rsidRPr="0060694E">
        <w:rPr>
          <w:rFonts w:ascii="Arial" w:hAnsi="Arial" w:cs="Arial"/>
          <w:sz w:val="24"/>
          <w:szCs w:val="24"/>
        </w:rPr>
        <w:t>-</w:t>
      </w:r>
      <w:r w:rsidRPr="0060694E">
        <w:rPr>
          <w:rFonts w:ascii="Arial" w:hAnsi="Arial" w:cs="Arial"/>
          <w:sz w:val="24"/>
          <w:szCs w:val="24"/>
        </w:rPr>
        <w:t>depth analysis of the income and estate taxation of revocable living trusts – from creation to dissolution.</w:t>
      </w:r>
      <w:r w:rsidR="000366DE" w:rsidRPr="0060694E">
        <w:rPr>
          <w:rFonts w:ascii="Arial" w:hAnsi="Arial" w:cs="Arial"/>
          <w:sz w:val="24"/>
          <w:szCs w:val="24"/>
        </w:rPr>
        <w:t xml:space="preserve"> </w:t>
      </w:r>
      <w:r w:rsidR="007C4F9A" w:rsidRPr="0060694E">
        <w:rPr>
          <w:rFonts w:ascii="Arial" w:hAnsi="Arial" w:cs="Arial"/>
          <w:sz w:val="24"/>
          <w:szCs w:val="24"/>
        </w:rPr>
        <w:t>Also discussed will be selected operational issues.</w:t>
      </w:r>
    </w:p>
    <w:p w14:paraId="6C8F344B" w14:textId="77777777" w:rsidR="00110B80" w:rsidRPr="0060694E" w:rsidRDefault="00110B80" w:rsidP="00110B80">
      <w:pPr>
        <w:pStyle w:val="NoSpacing"/>
        <w:rPr>
          <w:rFonts w:ascii="Arial" w:hAnsi="Arial" w:cs="Arial"/>
          <w:sz w:val="24"/>
          <w:szCs w:val="24"/>
        </w:rPr>
      </w:pPr>
    </w:p>
    <w:p w14:paraId="28336549"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72871C4D" w14:textId="77777777" w:rsidR="00110B80" w:rsidRPr="0060694E" w:rsidRDefault="00110B80" w:rsidP="00110B80">
      <w:pPr>
        <w:pStyle w:val="NoSpacing"/>
        <w:numPr>
          <w:ilvl w:val="0"/>
          <w:numId w:val="1"/>
        </w:numPr>
        <w:rPr>
          <w:rFonts w:ascii="Arial" w:hAnsi="Arial" w:cs="Arial"/>
          <w:sz w:val="24"/>
          <w:szCs w:val="24"/>
        </w:rPr>
      </w:pPr>
      <w:r w:rsidRPr="0060694E">
        <w:rPr>
          <w:rFonts w:ascii="Arial" w:hAnsi="Arial" w:cs="Arial"/>
          <w:sz w:val="24"/>
          <w:szCs w:val="24"/>
        </w:rPr>
        <w:t>Describe how income and estate taxes impact revocable living trusts</w:t>
      </w:r>
    </w:p>
    <w:p w14:paraId="44559E7F" w14:textId="499A081E" w:rsidR="00110B80" w:rsidRPr="0060694E" w:rsidRDefault="00110B80" w:rsidP="00110B80">
      <w:pPr>
        <w:pStyle w:val="NoSpacing"/>
        <w:numPr>
          <w:ilvl w:val="0"/>
          <w:numId w:val="1"/>
        </w:numPr>
        <w:rPr>
          <w:rFonts w:ascii="Arial" w:hAnsi="Arial" w:cs="Arial"/>
          <w:sz w:val="24"/>
          <w:szCs w:val="24"/>
        </w:rPr>
      </w:pPr>
      <w:r w:rsidRPr="0060694E">
        <w:rPr>
          <w:rFonts w:ascii="Arial" w:hAnsi="Arial" w:cs="Arial"/>
          <w:sz w:val="24"/>
          <w:szCs w:val="24"/>
        </w:rPr>
        <w:t xml:space="preserve">Identify the allowable methods of filing income tax returns and how to change </w:t>
      </w:r>
      <w:r w:rsidR="0060694E" w:rsidRPr="0060694E">
        <w:rPr>
          <w:rFonts w:ascii="Arial" w:hAnsi="Arial" w:cs="Arial"/>
          <w:sz w:val="24"/>
          <w:szCs w:val="24"/>
        </w:rPr>
        <w:t xml:space="preserve">the </w:t>
      </w:r>
      <w:r w:rsidRPr="0060694E">
        <w:rPr>
          <w:rFonts w:ascii="Arial" w:hAnsi="Arial" w:cs="Arial"/>
          <w:sz w:val="24"/>
          <w:szCs w:val="24"/>
        </w:rPr>
        <w:t>filing method</w:t>
      </w:r>
    </w:p>
    <w:p w14:paraId="23AE56F7" w14:textId="77777777" w:rsidR="00110B80" w:rsidRPr="0060694E" w:rsidRDefault="00110B80" w:rsidP="00110B80">
      <w:pPr>
        <w:pStyle w:val="NoSpacing"/>
        <w:numPr>
          <w:ilvl w:val="0"/>
          <w:numId w:val="1"/>
        </w:numPr>
        <w:rPr>
          <w:rFonts w:ascii="Arial" w:hAnsi="Arial" w:cs="Arial"/>
          <w:sz w:val="24"/>
          <w:szCs w:val="24"/>
        </w:rPr>
      </w:pPr>
      <w:r w:rsidRPr="0060694E">
        <w:rPr>
          <w:rFonts w:ascii="Arial" w:hAnsi="Arial" w:cs="Arial"/>
          <w:sz w:val="24"/>
          <w:szCs w:val="24"/>
        </w:rPr>
        <w:t>Identify when a revocable living trust needs an employer identification number and when it needs a NEW employer identification number</w:t>
      </w:r>
    </w:p>
    <w:p w14:paraId="724AF9A0" w14:textId="0AB79ED5" w:rsidR="00110B80" w:rsidRPr="0060694E" w:rsidRDefault="00110B80" w:rsidP="00110B80">
      <w:pPr>
        <w:pStyle w:val="NoSpacing"/>
        <w:numPr>
          <w:ilvl w:val="0"/>
          <w:numId w:val="1"/>
        </w:numPr>
        <w:rPr>
          <w:rFonts w:ascii="Arial" w:hAnsi="Arial" w:cs="Arial"/>
          <w:sz w:val="24"/>
          <w:szCs w:val="24"/>
        </w:rPr>
      </w:pPr>
      <w:r w:rsidRPr="0060694E">
        <w:rPr>
          <w:rFonts w:ascii="Arial" w:hAnsi="Arial" w:cs="Arial"/>
          <w:sz w:val="24"/>
          <w:szCs w:val="24"/>
        </w:rPr>
        <w:t>Understand how to make a Section 645 election – with or without a probate estate</w:t>
      </w:r>
    </w:p>
    <w:bookmarkEnd w:id="0"/>
    <w:p w14:paraId="5D39A057" w14:textId="77777777" w:rsidR="00CD44B9" w:rsidRDefault="00CD44B9"/>
    <w:p w14:paraId="4EAD545D" w14:textId="7A50637B" w:rsidR="00C33460" w:rsidRDefault="00881AFD" w:rsidP="00F81ABD">
      <w:pPr>
        <w:rPr>
          <w:rFonts w:ascii="Arial" w:hAnsi="Arial" w:cs="Arial"/>
          <w:b/>
          <w:bCs/>
        </w:rPr>
      </w:pPr>
      <w:r>
        <w:rPr>
          <w:rFonts w:ascii="Arial" w:hAnsi="Arial" w:cs="Arial"/>
          <w:b/>
          <w:bCs/>
        </w:rPr>
        <w:lastRenderedPageBreak/>
        <w:t>Schedule D – The Good, The Bad and the Downright Ugly</w:t>
      </w:r>
    </w:p>
    <w:p w14:paraId="0E8FCDE4" w14:textId="14337FA2" w:rsidR="007F3766" w:rsidRDefault="007F3766" w:rsidP="00F81ABD">
      <w:pPr>
        <w:rPr>
          <w:rFonts w:ascii="Arial" w:hAnsi="Arial" w:cs="Arial"/>
        </w:rPr>
      </w:pPr>
      <w:r>
        <w:rPr>
          <w:rFonts w:ascii="Arial" w:hAnsi="Arial" w:cs="Arial"/>
        </w:rPr>
        <w:t>Numerous transactions are reported on Schedule D</w:t>
      </w:r>
      <w:r w:rsidR="00F763C0">
        <w:rPr>
          <w:rFonts w:ascii="Arial" w:hAnsi="Arial" w:cs="Arial"/>
        </w:rPr>
        <w:t xml:space="preserve"> and Form 8949</w:t>
      </w:r>
      <w:r>
        <w:rPr>
          <w:rFonts w:ascii="Arial" w:hAnsi="Arial" w:cs="Arial"/>
        </w:rPr>
        <w:t xml:space="preserve">. In this session we will discuss how to correctly report </w:t>
      </w:r>
      <w:r w:rsidR="009B6769">
        <w:rPr>
          <w:rFonts w:ascii="Arial" w:hAnsi="Arial" w:cs="Arial"/>
        </w:rPr>
        <w:t>those</w:t>
      </w:r>
      <w:r>
        <w:rPr>
          <w:rFonts w:ascii="Arial" w:hAnsi="Arial" w:cs="Arial"/>
        </w:rPr>
        <w:t xml:space="preserve"> </w:t>
      </w:r>
      <w:r w:rsidR="00F763C0">
        <w:rPr>
          <w:rFonts w:ascii="Arial" w:hAnsi="Arial" w:cs="Arial"/>
        </w:rPr>
        <w:t>transactions from Form 1099-B when the basis is incorrect, there is a wash sale, or the stock qualifies as Section 1244 Stock. We will also discuss how to correctly report transactions from Form 1099-K and Form 1099-S. Finally, we will analyze the sale of a Limited Partnership interest, personal bad debts, and worthless stock or securities.</w:t>
      </w:r>
    </w:p>
    <w:p w14:paraId="725A954A"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7AAD9004" w14:textId="36F5FE61" w:rsidR="007F3766" w:rsidRPr="00F763C0" w:rsidRDefault="00F763C0" w:rsidP="00F763C0">
      <w:pPr>
        <w:pStyle w:val="ListParagraph"/>
        <w:numPr>
          <w:ilvl w:val="0"/>
          <w:numId w:val="9"/>
        </w:numPr>
        <w:ind w:left="360"/>
        <w:rPr>
          <w:rFonts w:ascii="Arial" w:hAnsi="Arial" w:cs="Arial"/>
          <w:sz w:val="24"/>
          <w:szCs w:val="24"/>
        </w:rPr>
      </w:pPr>
      <w:r w:rsidRPr="00F763C0">
        <w:rPr>
          <w:rFonts w:ascii="Arial" w:hAnsi="Arial" w:cs="Arial"/>
          <w:sz w:val="24"/>
          <w:szCs w:val="24"/>
        </w:rPr>
        <w:t xml:space="preserve">Understand what </w:t>
      </w:r>
      <w:proofErr w:type="gramStart"/>
      <w:r w:rsidRPr="00F763C0">
        <w:rPr>
          <w:rFonts w:ascii="Arial" w:hAnsi="Arial" w:cs="Arial"/>
          <w:sz w:val="24"/>
          <w:szCs w:val="24"/>
        </w:rPr>
        <w:t>is a capital asset</w:t>
      </w:r>
      <w:proofErr w:type="gramEnd"/>
    </w:p>
    <w:p w14:paraId="476ADBF0" w14:textId="55553668" w:rsidR="00F763C0" w:rsidRPr="00F763C0" w:rsidRDefault="00F763C0" w:rsidP="00F763C0">
      <w:pPr>
        <w:pStyle w:val="ListParagraph"/>
        <w:numPr>
          <w:ilvl w:val="0"/>
          <w:numId w:val="9"/>
        </w:numPr>
        <w:ind w:left="360"/>
        <w:rPr>
          <w:rFonts w:ascii="Arial" w:hAnsi="Arial" w:cs="Arial"/>
          <w:sz w:val="24"/>
          <w:szCs w:val="24"/>
        </w:rPr>
      </w:pPr>
      <w:r w:rsidRPr="00F763C0">
        <w:rPr>
          <w:rFonts w:ascii="Arial" w:hAnsi="Arial" w:cs="Arial"/>
          <w:sz w:val="24"/>
          <w:szCs w:val="24"/>
        </w:rPr>
        <w:t>Correctly report transactions from Form 1099-B, Form 1099-K and Form 1099-S</w:t>
      </w:r>
    </w:p>
    <w:p w14:paraId="440B4D4A" w14:textId="56328772" w:rsidR="00F763C0" w:rsidRPr="00F763C0" w:rsidRDefault="00F763C0" w:rsidP="00F763C0">
      <w:pPr>
        <w:pStyle w:val="ListParagraph"/>
        <w:numPr>
          <w:ilvl w:val="0"/>
          <w:numId w:val="9"/>
        </w:numPr>
        <w:ind w:left="360"/>
        <w:rPr>
          <w:rFonts w:ascii="Arial" w:hAnsi="Arial" w:cs="Arial"/>
          <w:sz w:val="24"/>
          <w:szCs w:val="24"/>
        </w:rPr>
      </w:pPr>
      <w:r w:rsidRPr="00F763C0">
        <w:rPr>
          <w:rFonts w:ascii="Arial" w:hAnsi="Arial" w:cs="Arial"/>
          <w:sz w:val="24"/>
          <w:szCs w:val="24"/>
        </w:rPr>
        <w:t>Identify the adjustments needed when there is a sale of a limited partnership interest</w:t>
      </w:r>
    </w:p>
    <w:p w14:paraId="1AE14020" w14:textId="2F678E96" w:rsidR="00F763C0" w:rsidRPr="00F763C0" w:rsidRDefault="00F763C0" w:rsidP="00F763C0">
      <w:pPr>
        <w:pStyle w:val="ListParagraph"/>
        <w:numPr>
          <w:ilvl w:val="0"/>
          <w:numId w:val="9"/>
        </w:numPr>
        <w:ind w:left="360"/>
        <w:rPr>
          <w:rFonts w:ascii="Arial" w:hAnsi="Arial" w:cs="Arial"/>
          <w:sz w:val="24"/>
          <w:szCs w:val="24"/>
        </w:rPr>
      </w:pPr>
      <w:r w:rsidRPr="00F763C0">
        <w:rPr>
          <w:rFonts w:ascii="Arial" w:hAnsi="Arial" w:cs="Arial"/>
          <w:sz w:val="24"/>
          <w:szCs w:val="24"/>
        </w:rPr>
        <w:t>Understand how to report personal bad debts and worthless stock or securities</w:t>
      </w:r>
    </w:p>
    <w:p w14:paraId="7932B28F" w14:textId="50C3CD5B" w:rsidR="00F73738" w:rsidRDefault="00F73738" w:rsidP="00F81ABD">
      <w:pPr>
        <w:rPr>
          <w:rFonts w:ascii="Arial" w:hAnsi="Arial" w:cs="Arial"/>
          <w:b/>
          <w:bCs/>
        </w:rPr>
      </w:pPr>
      <w:r>
        <w:rPr>
          <w:rFonts w:ascii="Arial" w:hAnsi="Arial" w:cs="Arial"/>
          <w:b/>
          <w:bCs/>
        </w:rPr>
        <w:t>Required Minimum Distributions – The New Rules</w:t>
      </w:r>
      <w:r w:rsidR="00362AE3">
        <w:rPr>
          <w:rFonts w:ascii="Arial" w:hAnsi="Arial" w:cs="Arial"/>
          <w:b/>
          <w:bCs/>
        </w:rPr>
        <w:t xml:space="preserve"> Under SECURE 2.0</w:t>
      </w:r>
    </w:p>
    <w:p w14:paraId="28140C62" w14:textId="08008464" w:rsidR="00F73738" w:rsidRDefault="00F73738" w:rsidP="00F81ABD">
      <w:pPr>
        <w:rPr>
          <w:rFonts w:ascii="Arial" w:hAnsi="Arial" w:cs="Arial"/>
        </w:rPr>
      </w:pPr>
      <w:r>
        <w:rPr>
          <w:rFonts w:ascii="Arial" w:hAnsi="Arial" w:cs="Arial"/>
        </w:rPr>
        <w:t>The Final SECURE 2.0 Regs changed the rules especially for inherited retirement plans or IRA</w:t>
      </w:r>
      <w:r w:rsidR="00362AE3">
        <w:rPr>
          <w:rFonts w:ascii="Arial" w:hAnsi="Arial" w:cs="Arial"/>
        </w:rPr>
        <w:t>s</w:t>
      </w:r>
      <w:r>
        <w:rPr>
          <w:rFonts w:ascii="Arial" w:hAnsi="Arial" w:cs="Arial"/>
        </w:rPr>
        <w:t xml:space="preserve">. </w:t>
      </w:r>
      <w:r w:rsidR="00206633">
        <w:rPr>
          <w:rFonts w:ascii="Arial" w:hAnsi="Arial" w:cs="Arial"/>
        </w:rPr>
        <w:t xml:space="preserve">This session will discuss how to calculate the required minimum distribution from an IRA or retirement plan during the account owner’s life and after their death. </w:t>
      </w:r>
      <w:r w:rsidR="003E1906">
        <w:rPr>
          <w:rFonts w:ascii="Arial" w:hAnsi="Arial" w:cs="Arial"/>
        </w:rPr>
        <w:t>Also discussed will be the</w:t>
      </w:r>
      <w:r w:rsidR="00206633">
        <w:rPr>
          <w:rFonts w:ascii="Arial" w:hAnsi="Arial" w:cs="Arial"/>
        </w:rPr>
        <w:t xml:space="preserve"> further complexities depending upon </w:t>
      </w:r>
      <w:r w:rsidR="00362AE3">
        <w:rPr>
          <w:rFonts w:ascii="Arial" w:hAnsi="Arial" w:cs="Arial"/>
        </w:rPr>
        <w:t>whether</w:t>
      </w:r>
      <w:r w:rsidR="00206633">
        <w:rPr>
          <w:rFonts w:ascii="Arial" w:hAnsi="Arial" w:cs="Arial"/>
        </w:rPr>
        <w:t xml:space="preserve"> the beneficiary is an eligible designated beneficiary. And of course, there are potential penalties that can apply when the new rules are not followed.</w:t>
      </w:r>
    </w:p>
    <w:p w14:paraId="56B4D4F5"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3D7495EE" w14:textId="3C1C1C27" w:rsidR="00206633" w:rsidRDefault="00206633" w:rsidP="00206633">
      <w:pPr>
        <w:pStyle w:val="ListParagraph"/>
        <w:numPr>
          <w:ilvl w:val="0"/>
          <w:numId w:val="3"/>
        </w:numPr>
        <w:rPr>
          <w:rFonts w:ascii="Arial" w:hAnsi="Arial" w:cs="Arial"/>
          <w:sz w:val="24"/>
          <w:szCs w:val="24"/>
        </w:rPr>
      </w:pPr>
      <w:r w:rsidRPr="00544E77">
        <w:rPr>
          <w:rFonts w:ascii="Arial" w:hAnsi="Arial" w:cs="Arial"/>
          <w:sz w:val="24"/>
          <w:szCs w:val="24"/>
        </w:rPr>
        <w:t>Calculate the required minimum distribution from an IRA or Retirement Plan during an account owner’s life and after their death</w:t>
      </w:r>
      <w:r w:rsidR="003E1906">
        <w:rPr>
          <w:rFonts w:ascii="Arial" w:hAnsi="Arial" w:cs="Arial"/>
          <w:sz w:val="24"/>
          <w:szCs w:val="24"/>
        </w:rPr>
        <w:t xml:space="preserve"> depending upon their beneficiary</w:t>
      </w:r>
    </w:p>
    <w:p w14:paraId="2B3C5F45" w14:textId="3E98EC8B" w:rsidR="00206633" w:rsidRDefault="00206633" w:rsidP="00206633">
      <w:pPr>
        <w:pStyle w:val="ListParagraph"/>
        <w:numPr>
          <w:ilvl w:val="0"/>
          <w:numId w:val="3"/>
        </w:numPr>
        <w:rPr>
          <w:rFonts w:ascii="Arial" w:hAnsi="Arial" w:cs="Arial"/>
          <w:sz w:val="24"/>
          <w:szCs w:val="24"/>
        </w:rPr>
      </w:pPr>
      <w:r>
        <w:rPr>
          <w:rFonts w:ascii="Arial" w:hAnsi="Arial" w:cs="Arial"/>
          <w:sz w:val="24"/>
          <w:szCs w:val="24"/>
        </w:rPr>
        <w:t>Understand who qualifies as an eligible designated beneficiary</w:t>
      </w:r>
    </w:p>
    <w:p w14:paraId="10072D1F" w14:textId="2DF20F9A" w:rsidR="003E1906" w:rsidRPr="00544E77" w:rsidRDefault="003E1906" w:rsidP="00206633">
      <w:pPr>
        <w:pStyle w:val="ListParagraph"/>
        <w:numPr>
          <w:ilvl w:val="0"/>
          <w:numId w:val="3"/>
        </w:numPr>
        <w:rPr>
          <w:rFonts w:ascii="Arial" w:hAnsi="Arial" w:cs="Arial"/>
          <w:sz w:val="24"/>
          <w:szCs w:val="24"/>
        </w:rPr>
      </w:pPr>
      <w:r>
        <w:rPr>
          <w:rFonts w:ascii="Arial" w:hAnsi="Arial" w:cs="Arial"/>
          <w:sz w:val="24"/>
          <w:szCs w:val="24"/>
        </w:rPr>
        <w:t>Determine the applicable penalties for failure to take a required minimum distribution</w:t>
      </w:r>
    </w:p>
    <w:p w14:paraId="1A36966F" w14:textId="4C6D1175" w:rsidR="00C33460" w:rsidRDefault="007F3766" w:rsidP="00F81ABD">
      <w:pPr>
        <w:rPr>
          <w:rFonts w:ascii="Arial" w:hAnsi="Arial" w:cs="Arial"/>
          <w:b/>
          <w:bCs/>
        </w:rPr>
      </w:pPr>
      <w:r>
        <w:rPr>
          <w:rFonts w:ascii="Arial" w:hAnsi="Arial" w:cs="Arial"/>
          <w:b/>
          <w:bCs/>
        </w:rPr>
        <w:t>Business or Hobby?</w:t>
      </w:r>
    </w:p>
    <w:p w14:paraId="6285F19B" w14:textId="6848F250" w:rsidR="007F3766" w:rsidRDefault="00AB3A72" w:rsidP="00F81ABD">
      <w:pPr>
        <w:rPr>
          <w:rFonts w:ascii="Arial" w:hAnsi="Arial" w:cs="Arial"/>
        </w:rPr>
      </w:pPr>
      <w:r>
        <w:rPr>
          <w:rFonts w:ascii="Arial" w:hAnsi="Arial" w:cs="Arial"/>
        </w:rPr>
        <w:t xml:space="preserve">Many taxpayers are involved in an activity that could be considered a hobby for tax purposes. The rules for how to report the income and expenses depend on whether the activity is a hobby or business. In this session we will examine the nine factors Tax Court uses to determine if an activity is a hobby or business. We will also review numerous cases to understand </w:t>
      </w:r>
      <w:proofErr w:type="gramStart"/>
      <w:r>
        <w:rPr>
          <w:rFonts w:ascii="Arial" w:hAnsi="Arial" w:cs="Arial"/>
        </w:rPr>
        <w:t>Tax</w:t>
      </w:r>
      <w:proofErr w:type="gramEnd"/>
      <w:r>
        <w:rPr>
          <w:rFonts w:ascii="Arial" w:hAnsi="Arial" w:cs="Arial"/>
        </w:rPr>
        <w:t xml:space="preserve"> Court’s reasoning for their decision. </w:t>
      </w:r>
    </w:p>
    <w:p w14:paraId="508F6570"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711C3F38" w14:textId="24D2B177" w:rsidR="00AB3A72" w:rsidRPr="00A0671F" w:rsidRDefault="00AB3A72" w:rsidP="00AB3A72">
      <w:pPr>
        <w:pStyle w:val="ListParagraph"/>
        <w:numPr>
          <w:ilvl w:val="0"/>
          <w:numId w:val="10"/>
        </w:numPr>
        <w:rPr>
          <w:rFonts w:ascii="Arial" w:hAnsi="Arial" w:cs="Arial"/>
          <w:sz w:val="24"/>
          <w:szCs w:val="24"/>
        </w:rPr>
      </w:pPr>
      <w:r w:rsidRPr="00A0671F">
        <w:rPr>
          <w:rFonts w:ascii="Arial" w:hAnsi="Arial" w:cs="Arial"/>
          <w:sz w:val="24"/>
          <w:szCs w:val="24"/>
        </w:rPr>
        <w:t>Understand how to correctly report a hobby activity</w:t>
      </w:r>
    </w:p>
    <w:p w14:paraId="085677D0" w14:textId="39210CC1" w:rsidR="00AB3A72" w:rsidRPr="00A0671F" w:rsidRDefault="00AB3A72" w:rsidP="00AB3A72">
      <w:pPr>
        <w:pStyle w:val="ListParagraph"/>
        <w:numPr>
          <w:ilvl w:val="0"/>
          <w:numId w:val="10"/>
        </w:numPr>
        <w:rPr>
          <w:rFonts w:ascii="Arial" w:hAnsi="Arial" w:cs="Arial"/>
          <w:sz w:val="24"/>
          <w:szCs w:val="24"/>
        </w:rPr>
      </w:pPr>
      <w:r w:rsidRPr="00A0671F">
        <w:rPr>
          <w:rFonts w:ascii="Arial" w:hAnsi="Arial" w:cs="Arial"/>
          <w:sz w:val="24"/>
          <w:szCs w:val="24"/>
        </w:rPr>
        <w:t>Interpret the presumption an activity is engaged in for profit</w:t>
      </w:r>
    </w:p>
    <w:p w14:paraId="02FF2D21" w14:textId="4171828A" w:rsidR="00AB3A72" w:rsidRPr="00A0671F" w:rsidRDefault="00AB3A72" w:rsidP="00AB3A72">
      <w:pPr>
        <w:pStyle w:val="ListParagraph"/>
        <w:numPr>
          <w:ilvl w:val="0"/>
          <w:numId w:val="10"/>
        </w:numPr>
        <w:rPr>
          <w:rFonts w:ascii="Arial" w:hAnsi="Arial" w:cs="Arial"/>
          <w:sz w:val="24"/>
          <w:szCs w:val="24"/>
        </w:rPr>
      </w:pPr>
      <w:r w:rsidRPr="00A0671F">
        <w:rPr>
          <w:rFonts w:ascii="Arial" w:hAnsi="Arial" w:cs="Arial"/>
          <w:sz w:val="24"/>
          <w:szCs w:val="24"/>
        </w:rPr>
        <w:t>Understand the nine relevant factors</w:t>
      </w:r>
    </w:p>
    <w:p w14:paraId="5E59A29E" w14:textId="4B3427BA" w:rsidR="00AB3A72" w:rsidRDefault="00AB3A72" w:rsidP="00AB3A72">
      <w:pPr>
        <w:pStyle w:val="ListParagraph"/>
        <w:numPr>
          <w:ilvl w:val="0"/>
          <w:numId w:val="10"/>
        </w:numPr>
        <w:rPr>
          <w:rFonts w:ascii="Arial" w:hAnsi="Arial" w:cs="Arial"/>
          <w:sz w:val="24"/>
          <w:szCs w:val="24"/>
        </w:rPr>
      </w:pPr>
      <w:r w:rsidRPr="00A0671F">
        <w:rPr>
          <w:rFonts w:ascii="Arial" w:hAnsi="Arial" w:cs="Arial"/>
          <w:sz w:val="24"/>
          <w:szCs w:val="24"/>
        </w:rPr>
        <w:t>Review numerous Tax Court cases</w:t>
      </w:r>
    </w:p>
    <w:p w14:paraId="4B68590B" w14:textId="77777777" w:rsidR="00215CD6" w:rsidRDefault="00215CD6" w:rsidP="00A0671F">
      <w:pPr>
        <w:rPr>
          <w:rFonts w:ascii="Arial" w:hAnsi="Arial" w:cs="Arial"/>
          <w:b/>
          <w:bCs/>
        </w:rPr>
      </w:pPr>
    </w:p>
    <w:p w14:paraId="3C8080D2" w14:textId="77777777" w:rsidR="00215CD6" w:rsidRDefault="00215CD6" w:rsidP="00A0671F">
      <w:pPr>
        <w:rPr>
          <w:rFonts w:ascii="Arial" w:hAnsi="Arial" w:cs="Arial"/>
          <w:b/>
          <w:bCs/>
        </w:rPr>
      </w:pPr>
    </w:p>
    <w:p w14:paraId="76D0221D" w14:textId="7D2CD8A7" w:rsidR="00A0671F" w:rsidRPr="00A0671F" w:rsidRDefault="00A0671F" w:rsidP="00A0671F">
      <w:pPr>
        <w:rPr>
          <w:rFonts w:ascii="Arial" w:hAnsi="Arial" w:cs="Arial"/>
          <w:b/>
          <w:bCs/>
        </w:rPr>
      </w:pPr>
      <w:r w:rsidRPr="00A0671F">
        <w:rPr>
          <w:rFonts w:ascii="Arial" w:hAnsi="Arial" w:cs="Arial"/>
          <w:b/>
          <w:bCs/>
        </w:rPr>
        <w:lastRenderedPageBreak/>
        <w:t>A Review of SECURE 2.0</w:t>
      </w:r>
    </w:p>
    <w:p w14:paraId="0DAE552A" w14:textId="13E27E9F" w:rsidR="00A0671F" w:rsidRDefault="00A0671F" w:rsidP="00A0671F">
      <w:pPr>
        <w:rPr>
          <w:rFonts w:ascii="Arial" w:hAnsi="Arial" w:cs="Arial"/>
          <w:color w:val="3A3A3A"/>
          <w:shd w:val="clear" w:color="auto" w:fill="FFFFFF"/>
        </w:rPr>
      </w:pPr>
      <w:r w:rsidRPr="00A0671F">
        <w:rPr>
          <w:rFonts w:ascii="Arial" w:hAnsi="Arial" w:cs="Arial"/>
          <w:color w:val="3A3A3A"/>
          <w:shd w:val="clear" w:color="auto" w:fill="FFFFFF"/>
        </w:rPr>
        <w:t>The SECURE 2.0 Act of 2022 was developed to increase retirement savings by encouraging taxpayers to save</w:t>
      </w:r>
      <w:r w:rsidR="009B6769">
        <w:rPr>
          <w:rFonts w:ascii="Arial" w:hAnsi="Arial" w:cs="Arial"/>
          <w:color w:val="3A3A3A"/>
          <w:shd w:val="clear" w:color="auto" w:fill="FFFFFF"/>
        </w:rPr>
        <w:t xml:space="preserve"> for retirement</w:t>
      </w:r>
      <w:r w:rsidRPr="00A0671F">
        <w:rPr>
          <w:rFonts w:ascii="Arial" w:hAnsi="Arial" w:cs="Arial"/>
          <w:color w:val="3A3A3A"/>
          <w:shd w:val="clear" w:color="auto" w:fill="FFFFFF"/>
        </w:rPr>
        <w:t xml:space="preserve"> and employers to offer more savings opportunities. Some provisions are effective retroactively, some immediately, and some in the future as late as 2028. This session is a comprehensive analysis of the law starting with where we are now, what is changing, and when it is changing.</w:t>
      </w:r>
    </w:p>
    <w:p w14:paraId="08292A1B" w14:textId="22DAA824" w:rsidR="00DB514D" w:rsidRPr="0060694E" w:rsidRDefault="00CE08D5" w:rsidP="00DB514D">
      <w:pPr>
        <w:pStyle w:val="NoSpacing"/>
        <w:rPr>
          <w:rFonts w:ascii="Arial" w:hAnsi="Arial" w:cs="Arial"/>
          <w:sz w:val="24"/>
          <w:szCs w:val="24"/>
        </w:rPr>
      </w:pPr>
      <w:r>
        <w:rPr>
          <w:rFonts w:ascii="Arial" w:hAnsi="Arial" w:cs="Arial"/>
          <w:sz w:val="24"/>
          <w:szCs w:val="24"/>
        </w:rPr>
        <w:t>Learning objectives:</w:t>
      </w:r>
    </w:p>
    <w:p w14:paraId="22E79820" w14:textId="77777777" w:rsidR="00D01B01" w:rsidRPr="00D01B01" w:rsidRDefault="00D01B01" w:rsidP="00D01B01">
      <w:pPr>
        <w:numPr>
          <w:ilvl w:val="0"/>
          <w:numId w:val="11"/>
        </w:numPr>
        <w:shd w:val="clear" w:color="auto" w:fill="FFFFFF"/>
        <w:tabs>
          <w:tab w:val="clear" w:pos="0"/>
          <w:tab w:val="num" w:pos="-1080"/>
        </w:tabs>
        <w:spacing w:after="0" w:line="240" w:lineRule="auto"/>
        <w:ind w:left="360"/>
        <w:textAlignment w:val="baseline"/>
        <w:rPr>
          <w:rFonts w:ascii="Arial" w:eastAsia="Times New Roman" w:hAnsi="Arial" w:cs="Arial"/>
          <w:color w:val="3A3A3A"/>
        </w:rPr>
      </w:pPr>
      <w:r w:rsidRPr="00D01B01">
        <w:rPr>
          <w:rFonts w:ascii="Arial" w:eastAsia="Times New Roman" w:hAnsi="Arial" w:cs="Arial"/>
          <w:color w:val="3A3A3A"/>
        </w:rPr>
        <w:t xml:space="preserve">Understand the automatic enrollment and escalation requirements for employer sponsored </w:t>
      </w:r>
      <w:proofErr w:type="gramStart"/>
      <w:r w:rsidRPr="00D01B01">
        <w:rPr>
          <w:rFonts w:ascii="Arial" w:eastAsia="Times New Roman" w:hAnsi="Arial" w:cs="Arial"/>
          <w:color w:val="3A3A3A"/>
        </w:rPr>
        <w:t>plans;</w:t>
      </w:r>
      <w:proofErr w:type="gramEnd"/>
    </w:p>
    <w:p w14:paraId="29C3D393" w14:textId="77777777" w:rsidR="00D01B01" w:rsidRPr="00D01B01" w:rsidRDefault="00D01B01" w:rsidP="00D01B01">
      <w:pPr>
        <w:numPr>
          <w:ilvl w:val="0"/>
          <w:numId w:val="11"/>
        </w:numPr>
        <w:shd w:val="clear" w:color="auto" w:fill="FFFFFF"/>
        <w:tabs>
          <w:tab w:val="clear" w:pos="0"/>
          <w:tab w:val="num" w:pos="-1080"/>
        </w:tabs>
        <w:spacing w:after="0" w:line="240" w:lineRule="auto"/>
        <w:ind w:left="360"/>
        <w:textAlignment w:val="baseline"/>
        <w:rPr>
          <w:rFonts w:ascii="Arial" w:eastAsia="Times New Roman" w:hAnsi="Arial" w:cs="Arial"/>
          <w:color w:val="3A3A3A"/>
        </w:rPr>
      </w:pPr>
      <w:r w:rsidRPr="00D01B01">
        <w:rPr>
          <w:rFonts w:ascii="Arial" w:eastAsia="Times New Roman" w:hAnsi="Arial" w:cs="Arial"/>
          <w:color w:val="3A3A3A"/>
        </w:rPr>
        <w:t xml:space="preserve">Explain the increased catch-up contribution </w:t>
      </w:r>
      <w:proofErr w:type="gramStart"/>
      <w:r w:rsidRPr="00D01B01">
        <w:rPr>
          <w:rFonts w:ascii="Arial" w:eastAsia="Times New Roman" w:hAnsi="Arial" w:cs="Arial"/>
          <w:color w:val="3A3A3A"/>
        </w:rPr>
        <w:t>rules;</w:t>
      </w:r>
      <w:proofErr w:type="gramEnd"/>
    </w:p>
    <w:p w14:paraId="589880F9" w14:textId="77777777" w:rsidR="00D01B01" w:rsidRPr="00D01B01" w:rsidRDefault="00D01B01" w:rsidP="00D01B01">
      <w:pPr>
        <w:numPr>
          <w:ilvl w:val="0"/>
          <w:numId w:val="11"/>
        </w:numPr>
        <w:shd w:val="clear" w:color="auto" w:fill="FFFFFF"/>
        <w:tabs>
          <w:tab w:val="clear" w:pos="0"/>
          <w:tab w:val="num" w:pos="-1080"/>
        </w:tabs>
        <w:spacing w:after="0" w:line="240" w:lineRule="auto"/>
        <w:ind w:left="360"/>
        <w:textAlignment w:val="baseline"/>
        <w:rPr>
          <w:rFonts w:ascii="Arial" w:eastAsia="Times New Roman" w:hAnsi="Arial" w:cs="Arial"/>
          <w:color w:val="3A3A3A"/>
        </w:rPr>
      </w:pPr>
      <w:r w:rsidRPr="00D01B01">
        <w:rPr>
          <w:rFonts w:ascii="Arial" w:eastAsia="Times New Roman" w:hAnsi="Arial" w:cs="Arial"/>
          <w:color w:val="3A3A3A"/>
        </w:rPr>
        <w:t>Discuss how Section 529 Plans and Student Loan Payments impact retirement savings; and</w:t>
      </w:r>
    </w:p>
    <w:p w14:paraId="6D98B0BD" w14:textId="77777777" w:rsidR="00D01B01" w:rsidRPr="00D01B01" w:rsidRDefault="00D01B01" w:rsidP="00D01B01">
      <w:pPr>
        <w:numPr>
          <w:ilvl w:val="0"/>
          <w:numId w:val="11"/>
        </w:numPr>
        <w:shd w:val="clear" w:color="auto" w:fill="FFFFFF"/>
        <w:tabs>
          <w:tab w:val="clear" w:pos="0"/>
          <w:tab w:val="num" w:pos="-1080"/>
        </w:tabs>
        <w:spacing w:after="0" w:line="240" w:lineRule="auto"/>
        <w:ind w:left="360"/>
        <w:textAlignment w:val="baseline"/>
        <w:rPr>
          <w:rFonts w:ascii="Arial" w:eastAsia="Times New Roman" w:hAnsi="Arial" w:cs="Arial"/>
          <w:color w:val="3A3A3A"/>
        </w:rPr>
      </w:pPr>
      <w:r w:rsidRPr="00D01B01">
        <w:rPr>
          <w:rFonts w:ascii="Arial" w:eastAsia="Times New Roman" w:hAnsi="Arial" w:cs="Arial"/>
          <w:color w:val="3A3A3A"/>
        </w:rPr>
        <w:t>Understand the new credits for pension plan start-up costs.</w:t>
      </w:r>
    </w:p>
    <w:p w14:paraId="432CE13B" w14:textId="68845184" w:rsidR="00FB09B3" w:rsidRPr="00A0671F" w:rsidRDefault="00FB09B3" w:rsidP="00D01B01">
      <w:pPr>
        <w:rPr>
          <w:rFonts w:ascii="Arial" w:hAnsi="Arial" w:cs="Arial"/>
        </w:rPr>
      </w:pPr>
    </w:p>
    <w:p w14:paraId="1DD13134" w14:textId="7088FA3E" w:rsidR="00C33460" w:rsidRDefault="00571FA5" w:rsidP="00F81ABD">
      <w:pPr>
        <w:rPr>
          <w:rFonts w:ascii="Arial" w:hAnsi="Arial" w:cs="Arial"/>
          <w:b/>
          <w:bCs/>
        </w:rPr>
      </w:pPr>
      <w:r>
        <w:rPr>
          <w:rFonts w:ascii="Arial" w:hAnsi="Arial" w:cs="Arial"/>
          <w:b/>
          <w:bCs/>
        </w:rPr>
        <w:t xml:space="preserve">Not all </w:t>
      </w:r>
      <w:r w:rsidR="004B2093">
        <w:rPr>
          <w:rFonts w:ascii="Arial" w:hAnsi="Arial" w:cs="Arial"/>
          <w:b/>
          <w:bCs/>
        </w:rPr>
        <w:t>Fringe Benefits</w:t>
      </w:r>
      <w:r>
        <w:rPr>
          <w:rFonts w:ascii="Arial" w:hAnsi="Arial" w:cs="Arial"/>
          <w:b/>
          <w:bCs/>
        </w:rPr>
        <w:t xml:space="preserve"> are Created Equal</w:t>
      </w:r>
    </w:p>
    <w:p w14:paraId="441821AC" w14:textId="170705DA" w:rsidR="004B2093" w:rsidRDefault="009342C9" w:rsidP="00F81ABD">
      <w:pPr>
        <w:rPr>
          <w:rFonts w:ascii="Arial" w:hAnsi="Arial" w:cs="Arial"/>
        </w:rPr>
      </w:pPr>
      <w:r>
        <w:rPr>
          <w:rFonts w:ascii="Arial" w:hAnsi="Arial" w:cs="Arial"/>
        </w:rPr>
        <w:t>“</w:t>
      </w:r>
      <w:proofErr w:type="gramStart"/>
      <w:r>
        <w:rPr>
          <w:rFonts w:ascii="Arial" w:hAnsi="Arial" w:cs="Arial"/>
        </w:rPr>
        <w:t>Is</w:t>
      </w:r>
      <w:proofErr w:type="gramEnd"/>
      <w:r>
        <w:rPr>
          <w:rFonts w:ascii="Arial" w:hAnsi="Arial" w:cs="Arial"/>
        </w:rPr>
        <w:t xml:space="preserve"> this </w:t>
      </w:r>
      <w:r w:rsidR="00311880">
        <w:rPr>
          <w:rFonts w:ascii="Arial" w:hAnsi="Arial" w:cs="Arial"/>
        </w:rPr>
        <w:t xml:space="preserve">fringe </w:t>
      </w:r>
      <w:r>
        <w:rPr>
          <w:rFonts w:ascii="Arial" w:hAnsi="Arial" w:cs="Arial"/>
        </w:rPr>
        <w:t>benefit taxable?”</w:t>
      </w:r>
      <w:r w:rsidR="00311880">
        <w:rPr>
          <w:rFonts w:ascii="Arial" w:hAnsi="Arial" w:cs="Arial"/>
        </w:rPr>
        <w:t xml:space="preserve"> “How is this fringe benefit valued and reported?” “Does it matter how my business is organized?” “Can I use an accountable plan?”  Common questions asked by clients. This session is a quick and lively review, Q&amp;A style, of common fringe benefits. The questions are designed to replicate real life situations encountered in the typical tax office.</w:t>
      </w:r>
      <w:r w:rsidR="00624E49">
        <w:rPr>
          <w:rFonts w:ascii="Arial" w:hAnsi="Arial" w:cs="Arial"/>
        </w:rPr>
        <w:t xml:space="preserve"> Citations are provided so you can authoritatively respond to your client’s questions.</w:t>
      </w:r>
    </w:p>
    <w:p w14:paraId="4D3AC6E2"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72C6330D" w14:textId="5EB3E979" w:rsidR="009342C9" w:rsidRDefault="00311880" w:rsidP="00311880">
      <w:pPr>
        <w:pStyle w:val="ListParagraph"/>
        <w:numPr>
          <w:ilvl w:val="0"/>
          <w:numId w:val="13"/>
        </w:numPr>
        <w:rPr>
          <w:rFonts w:ascii="Arial" w:hAnsi="Arial" w:cs="Arial"/>
        </w:rPr>
      </w:pPr>
      <w:r>
        <w:rPr>
          <w:rFonts w:ascii="Arial" w:hAnsi="Arial" w:cs="Arial"/>
        </w:rPr>
        <w:t xml:space="preserve">Understand </w:t>
      </w:r>
      <w:r w:rsidR="00C47A4C">
        <w:rPr>
          <w:rFonts w:ascii="Arial" w:hAnsi="Arial" w:cs="Arial"/>
        </w:rPr>
        <w:t>how accountable plans operate</w:t>
      </w:r>
    </w:p>
    <w:p w14:paraId="13F583C9" w14:textId="6D8ADCCB" w:rsidR="00C47A4C" w:rsidRDefault="00C47A4C" w:rsidP="00311880">
      <w:pPr>
        <w:pStyle w:val="ListParagraph"/>
        <w:numPr>
          <w:ilvl w:val="0"/>
          <w:numId w:val="13"/>
        </w:numPr>
        <w:rPr>
          <w:rFonts w:ascii="Arial" w:hAnsi="Arial" w:cs="Arial"/>
        </w:rPr>
      </w:pPr>
      <w:r>
        <w:rPr>
          <w:rFonts w:ascii="Arial" w:hAnsi="Arial" w:cs="Arial"/>
        </w:rPr>
        <w:t>Discuss the taxability of common fringe benefits such as cell phones and meals</w:t>
      </w:r>
    </w:p>
    <w:p w14:paraId="214E9EC8" w14:textId="7320449E" w:rsidR="009342C9" w:rsidRPr="00C47A4C" w:rsidRDefault="00C47A4C" w:rsidP="000E0A33">
      <w:pPr>
        <w:pStyle w:val="ListParagraph"/>
        <w:numPr>
          <w:ilvl w:val="0"/>
          <w:numId w:val="13"/>
        </w:numPr>
        <w:rPr>
          <w:rFonts w:ascii="Arial" w:hAnsi="Arial" w:cs="Arial"/>
        </w:rPr>
      </w:pPr>
      <w:r w:rsidRPr="00C47A4C">
        <w:rPr>
          <w:rFonts w:ascii="Arial" w:hAnsi="Arial" w:cs="Arial"/>
        </w:rPr>
        <w:t>Understand w</w:t>
      </w:r>
      <w:r w:rsidR="009B6769">
        <w:rPr>
          <w:rFonts w:ascii="Arial" w:hAnsi="Arial" w:cs="Arial"/>
        </w:rPr>
        <w:t>h</w:t>
      </w:r>
      <w:r w:rsidRPr="00C47A4C">
        <w:rPr>
          <w:rFonts w:ascii="Arial" w:hAnsi="Arial" w:cs="Arial"/>
        </w:rPr>
        <w:t>en fringe benefits are not taxable under the De Minimis or Working Condition rules</w:t>
      </w:r>
    </w:p>
    <w:p w14:paraId="540254E4" w14:textId="64FF6169" w:rsidR="00362AE3" w:rsidRPr="009039A3" w:rsidRDefault="00362AE3" w:rsidP="0018255A">
      <w:pPr>
        <w:rPr>
          <w:rFonts w:ascii="Arial" w:hAnsi="Arial" w:cs="Arial"/>
          <w:b/>
          <w:bCs/>
        </w:rPr>
      </w:pPr>
      <w:proofErr w:type="spellStart"/>
      <w:r w:rsidRPr="009039A3">
        <w:rPr>
          <w:rFonts w:ascii="Arial" w:hAnsi="Arial" w:cs="Arial"/>
          <w:b/>
          <w:bCs/>
        </w:rPr>
        <w:t>Ca</w:t>
      </w:r>
      <w:r w:rsidR="00835DC9" w:rsidRPr="009039A3">
        <w:rPr>
          <w:rFonts w:ascii="Arial" w:hAnsi="Arial" w:cs="Arial"/>
          <w:b/>
          <w:bCs/>
        </w:rPr>
        <w:t>$</w:t>
      </w:r>
      <w:r w:rsidRPr="009039A3">
        <w:rPr>
          <w:rFonts w:ascii="Arial" w:hAnsi="Arial" w:cs="Arial"/>
          <w:b/>
          <w:bCs/>
        </w:rPr>
        <w:t>h</w:t>
      </w:r>
      <w:proofErr w:type="spellEnd"/>
      <w:r w:rsidRPr="009039A3">
        <w:rPr>
          <w:rFonts w:ascii="Arial" w:hAnsi="Arial" w:cs="Arial"/>
          <w:b/>
          <w:bCs/>
        </w:rPr>
        <w:t xml:space="preserve">, </w:t>
      </w:r>
      <w:proofErr w:type="spellStart"/>
      <w:r w:rsidRPr="009039A3">
        <w:rPr>
          <w:rFonts w:ascii="Arial" w:hAnsi="Arial" w:cs="Arial"/>
          <w:b/>
          <w:bCs/>
        </w:rPr>
        <w:t>Ca</w:t>
      </w:r>
      <w:r w:rsidR="00835DC9" w:rsidRPr="009039A3">
        <w:rPr>
          <w:rFonts w:ascii="Arial" w:hAnsi="Arial" w:cs="Arial"/>
          <w:b/>
          <w:bCs/>
        </w:rPr>
        <w:t>$</w:t>
      </w:r>
      <w:r w:rsidRPr="009039A3">
        <w:rPr>
          <w:rFonts w:ascii="Arial" w:hAnsi="Arial" w:cs="Arial"/>
          <w:b/>
          <w:bCs/>
        </w:rPr>
        <w:t>h</w:t>
      </w:r>
      <w:proofErr w:type="spellEnd"/>
      <w:r w:rsidRPr="009039A3">
        <w:rPr>
          <w:rFonts w:ascii="Arial" w:hAnsi="Arial" w:cs="Arial"/>
          <w:b/>
          <w:bCs/>
        </w:rPr>
        <w:t xml:space="preserve"> and More </w:t>
      </w:r>
      <w:proofErr w:type="spellStart"/>
      <w:r w:rsidRPr="009039A3">
        <w:rPr>
          <w:rFonts w:ascii="Arial" w:hAnsi="Arial" w:cs="Arial"/>
          <w:b/>
          <w:bCs/>
        </w:rPr>
        <w:t>Ca</w:t>
      </w:r>
      <w:r w:rsidR="00835DC9" w:rsidRPr="009039A3">
        <w:rPr>
          <w:rFonts w:ascii="Arial" w:hAnsi="Arial" w:cs="Arial"/>
          <w:b/>
          <w:bCs/>
        </w:rPr>
        <w:t>$</w:t>
      </w:r>
      <w:r w:rsidRPr="009039A3">
        <w:rPr>
          <w:rFonts w:ascii="Arial" w:hAnsi="Arial" w:cs="Arial"/>
          <w:b/>
          <w:bCs/>
        </w:rPr>
        <w:t>h</w:t>
      </w:r>
      <w:proofErr w:type="spellEnd"/>
      <w:r w:rsidRPr="009039A3">
        <w:rPr>
          <w:rFonts w:ascii="Arial" w:hAnsi="Arial" w:cs="Arial"/>
          <w:b/>
          <w:bCs/>
        </w:rPr>
        <w:t xml:space="preserve"> – A Detailed Analysis of Form 8300</w:t>
      </w:r>
    </w:p>
    <w:p w14:paraId="7068D3F4" w14:textId="06819015" w:rsidR="00362AE3" w:rsidRDefault="00D96E90" w:rsidP="0018255A">
      <w:pPr>
        <w:rPr>
          <w:rFonts w:ascii="Arial" w:hAnsi="Arial" w:cs="Arial"/>
        </w:rPr>
      </w:pPr>
      <w:r>
        <w:rPr>
          <w:rFonts w:ascii="Arial" w:hAnsi="Arial" w:cs="Arial"/>
        </w:rPr>
        <w:t xml:space="preserve">Federal law requires trade or businesses to report cash transactions greater than $10,000. </w:t>
      </w:r>
      <w:r w:rsidR="00BB210B">
        <w:rPr>
          <w:rFonts w:ascii="Arial" w:hAnsi="Arial" w:cs="Arial"/>
        </w:rPr>
        <w:t xml:space="preserve">This session </w:t>
      </w:r>
      <w:r w:rsidR="009039A3">
        <w:rPr>
          <w:rFonts w:ascii="Arial" w:hAnsi="Arial" w:cs="Arial"/>
        </w:rPr>
        <w:t>will discuss what</w:t>
      </w:r>
      <w:r w:rsidR="00BC7941">
        <w:rPr>
          <w:rFonts w:ascii="Arial" w:hAnsi="Arial" w:cs="Arial"/>
        </w:rPr>
        <w:t xml:space="preserve"> </w:t>
      </w:r>
      <w:proofErr w:type="gramStart"/>
      <w:r w:rsidR="00BC7941">
        <w:rPr>
          <w:rFonts w:ascii="Arial" w:hAnsi="Arial" w:cs="Arial"/>
        </w:rPr>
        <w:t>is considered to be</w:t>
      </w:r>
      <w:proofErr w:type="gramEnd"/>
      <w:r w:rsidR="00BC7941">
        <w:rPr>
          <w:rFonts w:ascii="Arial" w:hAnsi="Arial" w:cs="Arial"/>
        </w:rPr>
        <w:t xml:space="preserve"> cash and what</w:t>
      </w:r>
      <w:r w:rsidR="009039A3">
        <w:rPr>
          <w:rFonts w:ascii="Arial" w:hAnsi="Arial" w:cs="Arial"/>
        </w:rPr>
        <w:t xml:space="preserve"> transactions must be reported and how they should be </w:t>
      </w:r>
      <w:r w:rsidR="004A708D">
        <w:rPr>
          <w:rFonts w:ascii="Arial" w:hAnsi="Arial" w:cs="Arial"/>
        </w:rPr>
        <w:t>reported, including the required written statement that must be provided to customers</w:t>
      </w:r>
      <w:r w:rsidR="009039A3">
        <w:rPr>
          <w:rFonts w:ascii="Arial" w:hAnsi="Arial" w:cs="Arial"/>
        </w:rPr>
        <w:t>.</w:t>
      </w:r>
      <w:r w:rsidR="004A708D">
        <w:rPr>
          <w:rFonts w:ascii="Arial" w:hAnsi="Arial" w:cs="Arial"/>
        </w:rPr>
        <w:t xml:space="preserve"> Also discussed will be the potential civil and criminal penalties that may be imposed for noncompliance.</w:t>
      </w:r>
      <w:r w:rsidR="009039A3">
        <w:rPr>
          <w:rFonts w:ascii="Arial" w:hAnsi="Arial" w:cs="Arial"/>
        </w:rPr>
        <w:t xml:space="preserve"> </w:t>
      </w:r>
    </w:p>
    <w:p w14:paraId="64E20084" w14:textId="77777777" w:rsidR="00CE08D5"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012A6C44" w14:textId="33239D85" w:rsidR="00BB210B" w:rsidRDefault="00BB210B" w:rsidP="00BB210B">
      <w:pPr>
        <w:pStyle w:val="ListParagraph"/>
        <w:numPr>
          <w:ilvl w:val="0"/>
          <w:numId w:val="14"/>
        </w:numPr>
        <w:rPr>
          <w:rFonts w:ascii="Arial" w:hAnsi="Arial" w:cs="Arial"/>
        </w:rPr>
      </w:pPr>
      <w:r>
        <w:rPr>
          <w:rFonts w:ascii="Arial" w:hAnsi="Arial" w:cs="Arial"/>
        </w:rPr>
        <w:t>Determine what transactions a business must report</w:t>
      </w:r>
    </w:p>
    <w:p w14:paraId="687F3DB8" w14:textId="5F1D618A" w:rsidR="00BB210B" w:rsidRDefault="00BB210B" w:rsidP="00BB210B">
      <w:pPr>
        <w:pStyle w:val="ListParagraph"/>
        <w:numPr>
          <w:ilvl w:val="0"/>
          <w:numId w:val="14"/>
        </w:numPr>
        <w:rPr>
          <w:rFonts w:ascii="Arial" w:hAnsi="Arial" w:cs="Arial"/>
        </w:rPr>
      </w:pPr>
      <w:r>
        <w:rPr>
          <w:rFonts w:ascii="Arial" w:hAnsi="Arial" w:cs="Arial"/>
        </w:rPr>
        <w:t>Define what constitutes cash</w:t>
      </w:r>
    </w:p>
    <w:p w14:paraId="2EC4CE5F" w14:textId="3F47E378" w:rsidR="00BB210B" w:rsidRDefault="00BB210B" w:rsidP="00BB210B">
      <w:pPr>
        <w:pStyle w:val="ListParagraph"/>
        <w:numPr>
          <w:ilvl w:val="0"/>
          <w:numId w:val="14"/>
        </w:numPr>
        <w:rPr>
          <w:rFonts w:ascii="Arial" w:hAnsi="Arial" w:cs="Arial"/>
        </w:rPr>
      </w:pPr>
      <w:r>
        <w:rPr>
          <w:rFonts w:ascii="Arial" w:hAnsi="Arial" w:cs="Arial"/>
        </w:rPr>
        <w:t>Determine how and then businesses should report payments</w:t>
      </w:r>
    </w:p>
    <w:p w14:paraId="24CF5457" w14:textId="3C53C371" w:rsidR="00BB210B" w:rsidRDefault="00BB210B" w:rsidP="00BB210B">
      <w:pPr>
        <w:pStyle w:val="ListParagraph"/>
        <w:numPr>
          <w:ilvl w:val="0"/>
          <w:numId w:val="14"/>
        </w:numPr>
        <w:rPr>
          <w:rFonts w:ascii="Arial" w:hAnsi="Arial" w:cs="Arial"/>
        </w:rPr>
      </w:pPr>
      <w:r>
        <w:rPr>
          <w:rFonts w:ascii="Arial" w:hAnsi="Arial" w:cs="Arial"/>
        </w:rPr>
        <w:t>Understand what civil and criminal penalties may be imposed for noncompliance</w:t>
      </w:r>
    </w:p>
    <w:p w14:paraId="248F5C73" w14:textId="77777777" w:rsidR="002711EA" w:rsidRDefault="002711EA" w:rsidP="002711EA">
      <w:pPr>
        <w:rPr>
          <w:rFonts w:ascii="Arial" w:hAnsi="Arial" w:cs="Arial"/>
        </w:rPr>
      </w:pPr>
    </w:p>
    <w:p w14:paraId="6AED6DFD" w14:textId="77777777" w:rsidR="00215CD6" w:rsidRDefault="00215CD6" w:rsidP="002711EA">
      <w:pPr>
        <w:rPr>
          <w:rFonts w:ascii="Arial" w:hAnsi="Arial" w:cs="Arial"/>
          <w:b/>
          <w:bCs/>
        </w:rPr>
      </w:pPr>
    </w:p>
    <w:p w14:paraId="1AF910F3" w14:textId="28DABF66" w:rsidR="002711EA" w:rsidRPr="002711EA" w:rsidRDefault="002711EA" w:rsidP="002711EA">
      <w:pPr>
        <w:rPr>
          <w:rFonts w:ascii="Arial" w:hAnsi="Arial" w:cs="Arial"/>
          <w:b/>
          <w:bCs/>
        </w:rPr>
      </w:pPr>
      <w:r w:rsidRPr="002711EA">
        <w:rPr>
          <w:rFonts w:ascii="Arial" w:hAnsi="Arial" w:cs="Arial"/>
          <w:b/>
          <w:bCs/>
        </w:rPr>
        <w:lastRenderedPageBreak/>
        <w:t>Pen to Paper – Preparing a Basic Form 1041</w:t>
      </w:r>
    </w:p>
    <w:p w14:paraId="60B60C22" w14:textId="0019D9C8" w:rsidR="002711EA" w:rsidRDefault="002711EA" w:rsidP="002711EA">
      <w:pPr>
        <w:rPr>
          <w:rFonts w:ascii="Arial" w:hAnsi="Arial" w:cs="Arial"/>
        </w:rPr>
      </w:pPr>
      <w:r>
        <w:rPr>
          <w:rFonts w:ascii="Arial" w:hAnsi="Arial" w:cs="Arial"/>
        </w:rPr>
        <w:t xml:space="preserve">Form 1041 is used to report income and deductions incurred by an estate or trust. Income taxation of an estate or trust is </w:t>
      </w:r>
      <w:proofErr w:type="gramStart"/>
      <w:r>
        <w:rPr>
          <w:rFonts w:ascii="Arial" w:hAnsi="Arial" w:cs="Arial"/>
        </w:rPr>
        <w:t>similar to</w:t>
      </w:r>
      <w:proofErr w:type="gramEnd"/>
      <w:r>
        <w:rPr>
          <w:rFonts w:ascii="Arial" w:hAnsi="Arial" w:cs="Arial"/>
        </w:rPr>
        <w:t xml:space="preserve"> income taxation of an individual, however there are numerous differences. Form 1041 is only three pages long requesting basic information about the estate or trust and detailing income and deductions. This session is designed to provide pen to paper illustrations of how to prepare a basic Form 1041</w:t>
      </w:r>
      <w:r w:rsidR="00F07660">
        <w:rPr>
          <w:rFonts w:ascii="Arial" w:hAnsi="Arial" w:cs="Arial"/>
        </w:rPr>
        <w:t>;</w:t>
      </w:r>
      <w:r>
        <w:rPr>
          <w:rFonts w:ascii="Arial" w:hAnsi="Arial" w:cs="Arial"/>
        </w:rPr>
        <w:t xml:space="preserve"> especially for tax preparers wanting to add Form 1041 as an additional tax service. Covered will be those unique differences between Form 1040 and Form 1041.</w:t>
      </w:r>
    </w:p>
    <w:p w14:paraId="71EB0415" w14:textId="76701B3C" w:rsidR="00DB514D" w:rsidRPr="0060694E" w:rsidRDefault="00CE08D5" w:rsidP="00DB514D">
      <w:pPr>
        <w:pStyle w:val="NoSpacing"/>
        <w:rPr>
          <w:rFonts w:ascii="Arial" w:hAnsi="Arial" w:cs="Arial"/>
          <w:sz w:val="24"/>
          <w:szCs w:val="24"/>
        </w:rPr>
      </w:pPr>
      <w:r>
        <w:rPr>
          <w:rFonts w:ascii="Arial" w:hAnsi="Arial" w:cs="Arial"/>
          <w:sz w:val="24"/>
          <w:szCs w:val="24"/>
        </w:rPr>
        <w:t>Learning objectives:</w:t>
      </w:r>
    </w:p>
    <w:p w14:paraId="4669F65E" w14:textId="796F1396" w:rsidR="005E60AD" w:rsidRDefault="005E60AD" w:rsidP="005E60AD">
      <w:pPr>
        <w:pStyle w:val="ListParagraph"/>
        <w:numPr>
          <w:ilvl w:val="0"/>
          <w:numId w:val="15"/>
        </w:numPr>
        <w:rPr>
          <w:rFonts w:ascii="Arial" w:hAnsi="Arial" w:cs="Arial"/>
        </w:rPr>
      </w:pPr>
      <w:r>
        <w:rPr>
          <w:rFonts w:ascii="Arial" w:hAnsi="Arial" w:cs="Arial"/>
        </w:rPr>
        <w:t>Know what boxes to check and how to answer the questions</w:t>
      </w:r>
    </w:p>
    <w:p w14:paraId="3BCF6684" w14:textId="77777777" w:rsidR="005E60AD" w:rsidRDefault="005E60AD" w:rsidP="005E60AD">
      <w:pPr>
        <w:pStyle w:val="ListParagraph"/>
        <w:numPr>
          <w:ilvl w:val="0"/>
          <w:numId w:val="15"/>
        </w:numPr>
        <w:rPr>
          <w:rFonts w:ascii="Arial" w:hAnsi="Arial" w:cs="Arial"/>
        </w:rPr>
      </w:pPr>
      <w:r>
        <w:rPr>
          <w:rFonts w:ascii="Arial" w:hAnsi="Arial" w:cs="Arial"/>
        </w:rPr>
        <w:t>Compute the income reported on Form 1041</w:t>
      </w:r>
    </w:p>
    <w:p w14:paraId="2469EF4D" w14:textId="77777777" w:rsidR="005E60AD" w:rsidRDefault="005E60AD" w:rsidP="005E60AD">
      <w:pPr>
        <w:pStyle w:val="ListParagraph"/>
        <w:numPr>
          <w:ilvl w:val="0"/>
          <w:numId w:val="15"/>
        </w:numPr>
        <w:rPr>
          <w:rFonts w:ascii="Arial" w:hAnsi="Arial" w:cs="Arial"/>
        </w:rPr>
      </w:pPr>
      <w:r>
        <w:rPr>
          <w:rFonts w:ascii="Arial" w:hAnsi="Arial" w:cs="Arial"/>
        </w:rPr>
        <w:t>Compute the deductions reported on Form 1041</w:t>
      </w:r>
    </w:p>
    <w:p w14:paraId="617DB14C" w14:textId="2E03A7B9" w:rsidR="00F07660" w:rsidRPr="005E60AD" w:rsidRDefault="005E60AD" w:rsidP="005E60AD">
      <w:pPr>
        <w:pStyle w:val="ListParagraph"/>
        <w:numPr>
          <w:ilvl w:val="0"/>
          <w:numId w:val="15"/>
        </w:numPr>
        <w:rPr>
          <w:rFonts w:ascii="Arial" w:hAnsi="Arial" w:cs="Arial"/>
        </w:rPr>
      </w:pPr>
      <w:r>
        <w:rPr>
          <w:rFonts w:ascii="Arial" w:hAnsi="Arial" w:cs="Arial"/>
        </w:rPr>
        <w:t>Understand the major tax differences between Form 1040 and Form 1041</w:t>
      </w:r>
    </w:p>
    <w:p w14:paraId="65C045B7" w14:textId="1DE0B5D8" w:rsidR="00F37C7C" w:rsidRDefault="005B2F79" w:rsidP="002711EA">
      <w:pPr>
        <w:rPr>
          <w:rFonts w:ascii="Arial" w:hAnsi="Arial" w:cs="Arial"/>
          <w:b/>
          <w:bCs/>
        </w:rPr>
      </w:pPr>
      <w:r w:rsidRPr="00F37C7C">
        <w:rPr>
          <w:rFonts w:ascii="Arial" w:hAnsi="Arial" w:cs="Arial"/>
          <w:b/>
          <w:bCs/>
        </w:rPr>
        <w:t>Foreign Assets</w:t>
      </w:r>
      <w:r w:rsidR="00F37C7C" w:rsidRPr="00F37C7C">
        <w:rPr>
          <w:rFonts w:ascii="Arial" w:hAnsi="Arial" w:cs="Arial"/>
          <w:b/>
          <w:bCs/>
        </w:rPr>
        <w:t xml:space="preserve"> – </w:t>
      </w:r>
      <w:r w:rsidR="00F37C7C">
        <w:rPr>
          <w:rFonts w:ascii="Arial" w:hAnsi="Arial" w:cs="Arial"/>
          <w:b/>
          <w:bCs/>
        </w:rPr>
        <w:t>Increasingly More</w:t>
      </w:r>
      <w:r w:rsidR="00F37C7C" w:rsidRPr="00F37C7C">
        <w:rPr>
          <w:rFonts w:ascii="Arial" w:hAnsi="Arial" w:cs="Arial"/>
          <w:b/>
          <w:bCs/>
        </w:rPr>
        <w:t xml:space="preserve"> Difficult to Hide</w:t>
      </w:r>
      <w:r w:rsidR="008D6898">
        <w:rPr>
          <w:rFonts w:ascii="Arial" w:hAnsi="Arial" w:cs="Arial"/>
          <w:b/>
          <w:bCs/>
        </w:rPr>
        <w:t xml:space="preserve"> and</w:t>
      </w:r>
      <w:r w:rsidR="00F37C7C">
        <w:rPr>
          <w:rFonts w:ascii="Arial" w:hAnsi="Arial" w:cs="Arial"/>
          <w:b/>
          <w:bCs/>
        </w:rPr>
        <w:t xml:space="preserve"> Expensive when Caught</w:t>
      </w:r>
    </w:p>
    <w:p w14:paraId="63C9CF97" w14:textId="5C059290" w:rsidR="008D6898" w:rsidRDefault="00DB514D" w:rsidP="008D6898">
      <w:pPr>
        <w:rPr>
          <w:rFonts w:ascii="Arial" w:hAnsi="Arial" w:cs="Arial"/>
        </w:rPr>
      </w:pPr>
      <w:r>
        <w:rPr>
          <w:rFonts w:ascii="Arial" w:hAnsi="Arial" w:cs="Arial"/>
        </w:rPr>
        <w:t>A report by the US Public Interest Research Group estimated that tax havens used by corporations and wealthy taxpayers cost the US Treasury over $184 billion each year in lost revenue. This has increased pressure to ramp up compliance efforts to find hidden assets. To combat money laundering and promote financial transparency, the Bank Secrecy Act requires information reporting. Failure to timely and properly file the required reports may subject the taxpayer to substantial penalties.</w:t>
      </w:r>
    </w:p>
    <w:p w14:paraId="1C4BD3AD" w14:textId="13A5DA77" w:rsidR="00DB514D" w:rsidRPr="0060694E" w:rsidRDefault="00CE08D5" w:rsidP="00DB514D">
      <w:pPr>
        <w:pStyle w:val="NoSpacing"/>
        <w:rPr>
          <w:rFonts w:ascii="Arial" w:hAnsi="Arial" w:cs="Arial"/>
          <w:sz w:val="24"/>
          <w:szCs w:val="24"/>
        </w:rPr>
      </w:pPr>
      <w:r>
        <w:rPr>
          <w:rFonts w:ascii="Arial" w:hAnsi="Arial" w:cs="Arial"/>
          <w:sz w:val="24"/>
          <w:szCs w:val="24"/>
        </w:rPr>
        <w:t>Learning objectives:</w:t>
      </w:r>
    </w:p>
    <w:p w14:paraId="1DF7B2CA" w14:textId="69D537A3" w:rsidR="00BD438D" w:rsidRDefault="00BD438D" w:rsidP="00BD438D">
      <w:pPr>
        <w:pStyle w:val="ListParagraph"/>
        <w:numPr>
          <w:ilvl w:val="0"/>
          <w:numId w:val="16"/>
        </w:numPr>
        <w:rPr>
          <w:rFonts w:ascii="Arial" w:hAnsi="Arial" w:cs="Arial"/>
        </w:rPr>
      </w:pPr>
      <w:r>
        <w:rPr>
          <w:rFonts w:ascii="Arial" w:hAnsi="Arial" w:cs="Arial"/>
        </w:rPr>
        <w:t>Determine who needs to file an FBAR</w:t>
      </w:r>
    </w:p>
    <w:p w14:paraId="0FAD50A5" w14:textId="055020D8" w:rsidR="00BD438D" w:rsidRDefault="00BD438D" w:rsidP="00BD438D">
      <w:pPr>
        <w:pStyle w:val="ListParagraph"/>
        <w:numPr>
          <w:ilvl w:val="0"/>
          <w:numId w:val="16"/>
        </w:numPr>
        <w:rPr>
          <w:rFonts w:ascii="Arial" w:hAnsi="Arial" w:cs="Arial"/>
        </w:rPr>
      </w:pPr>
      <w:r>
        <w:rPr>
          <w:rFonts w:ascii="Arial" w:hAnsi="Arial" w:cs="Arial"/>
        </w:rPr>
        <w:t>Determine who needs to file a FATCA</w:t>
      </w:r>
    </w:p>
    <w:p w14:paraId="6129055B" w14:textId="06B3D42F" w:rsidR="00BD438D" w:rsidRPr="00BD438D" w:rsidRDefault="00BD438D" w:rsidP="00BD438D">
      <w:pPr>
        <w:pStyle w:val="ListParagraph"/>
        <w:numPr>
          <w:ilvl w:val="0"/>
          <w:numId w:val="16"/>
        </w:numPr>
        <w:rPr>
          <w:rFonts w:ascii="Arial" w:hAnsi="Arial" w:cs="Arial"/>
        </w:rPr>
      </w:pPr>
      <w:r>
        <w:rPr>
          <w:rFonts w:ascii="Arial" w:hAnsi="Arial" w:cs="Arial"/>
        </w:rPr>
        <w:t>Understand the penalties that may be imposed for noncompliance</w:t>
      </w:r>
    </w:p>
    <w:p w14:paraId="3D9E02E3" w14:textId="1D99E5A9" w:rsidR="00B53845" w:rsidRDefault="00215CD6" w:rsidP="002711EA">
      <w:pPr>
        <w:rPr>
          <w:rFonts w:ascii="Arial" w:hAnsi="Arial" w:cs="Arial"/>
          <w:b/>
          <w:bCs/>
        </w:rPr>
      </w:pPr>
      <w:r>
        <w:rPr>
          <w:rFonts w:ascii="Arial" w:hAnsi="Arial" w:cs="Arial"/>
          <w:b/>
          <w:bCs/>
        </w:rPr>
        <w:t>Reporting Sales of Business and Rental Real Estate</w:t>
      </w:r>
    </w:p>
    <w:p w14:paraId="7B61FE87" w14:textId="3FC9DC6D" w:rsidR="00215CD6" w:rsidRDefault="00215CD6" w:rsidP="002711EA">
      <w:pPr>
        <w:rPr>
          <w:rFonts w:ascii="Arial" w:hAnsi="Arial" w:cs="Arial"/>
        </w:rPr>
      </w:pPr>
      <w:r>
        <w:rPr>
          <w:rFonts w:ascii="Arial" w:hAnsi="Arial" w:cs="Arial"/>
        </w:rPr>
        <w:t xml:space="preserve">There </w:t>
      </w:r>
      <w:proofErr w:type="gramStart"/>
      <w:r>
        <w:rPr>
          <w:rFonts w:ascii="Arial" w:hAnsi="Arial" w:cs="Arial"/>
        </w:rPr>
        <w:t>are</w:t>
      </w:r>
      <w:proofErr w:type="gramEnd"/>
      <w:r>
        <w:rPr>
          <w:rFonts w:ascii="Arial" w:hAnsi="Arial" w:cs="Arial"/>
        </w:rPr>
        <w:t xml:space="preserve"> numerous tax issues involved in the sale of business or rental real estate. This sale is usually reported on Form 4797 and subject to various recaptures. In this session we will examine how different scenarios need to be reported on the tax return.</w:t>
      </w:r>
    </w:p>
    <w:p w14:paraId="07820D0F" w14:textId="243C8324" w:rsidR="00215CD6" w:rsidRPr="00CE08D5" w:rsidRDefault="00CE08D5" w:rsidP="00CE08D5">
      <w:pPr>
        <w:pStyle w:val="NoSpacing"/>
        <w:rPr>
          <w:rFonts w:ascii="Arial" w:hAnsi="Arial" w:cs="Arial"/>
          <w:sz w:val="24"/>
          <w:szCs w:val="24"/>
        </w:rPr>
      </w:pPr>
      <w:r w:rsidRPr="00CE08D5">
        <w:rPr>
          <w:rFonts w:ascii="Arial" w:hAnsi="Arial" w:cs="Arial"/>
          <w:sz w:val="24"/>
          <w:szCs w:val="24"/>
        </w:rPr>
        <w:t>Learning objectives:</w:t>
      </w:r>
    </w:p>
    <w:p w14:paraId="7E87205B" w14:textId="46BEBACA" w:rsidR="00CE08D5" w:rsidRDefault="00CE08D5" w:rsidP="00CE08D5">
      <w:pPr>
        <w:pStyle w:val="ListParagraph"/>
        <w:numPr>
          <w:ilvl w:val="0"/>
          <w:numId w:val="17"/>
        </w:numPr>
        <w:rPr>
          <w:rFonts w:ascii="Arial" w:hAnsi="Arial" w:cs="Arial"/>
        </w:rPr>
      </w:pPr>
      <w:r>
        <w:rPr>
          <w:rFonts w:ascii="Arial" w:hAnsi="Arial" w:cs="Arial"/>
        </w:rPr>
        <w:t>Identify when the gain is ordinary income under Section 1245 or 1250</w:t>
      </w:r>
    </w:p>
    <w:p w14:paraId="7F2143C2" w14:textId="2F0FC40B" w:rsidR="00CE08D5" w:rsidRDefault="00CE08D5" w:rsidP="00CE08D5">
      <w:pPr>
        <w:pStyle w:val="ListParagraph"/>
        <w:numPr>
          <w:ilvl w:val="0"/>
          <w:numId w:val="17"/>
        </w:numPr>
        <w:rPr>
          <w:rFonts w:ascii="Arial" w:hAnsi="Arial" w:cs="Arial"/>
        </w:rPr>
      </w:pPr>
      <w:r>
        <w:rPr>
          <w:rFonts w:ascii="Arial" w:hAnsi="Arial" w:cs="Arial"/>
        </w:rPr>
        <w:t xml:space="preserve">Compute both Section 1250 recapture and </w:t>
      </w:r>
      <w:proofErr w:type="spellStart"/>
      <w:r>
        <w:rPr>
          <w:rFonts w:ascii="Arial" w:hAnsi="Arial" w:cs="Arial"/>
        </w:rPr>
        <w:t>unrecapture</w:t>
      </w:r>
      <w:proofErr w:type="spellEnd"/>
      <w:r>
        <w:rPr>
          <w:rFonts w:ascii="Arial" w:hAnsi="Arial" w:cs="Arial"/>
        </w:rPr>
        <w:t>.</w:t>
      </w:r>
    </w:p>
    <w:p w14:paraId="766986A9" w14:textId="2B6406BA" w:rsidR="00F12E7A" w:rsidRPr="00CE08D5" w:rsidRDefault="00CE08D5" w:rsidP="00891AD4">
      <w:pPr>
        <w:pStyle w:val="ListParagraph"/>
        <w:numPr>
          <w:ilvl w:val="0"/>
          <w:numId w:val="17"/>
        </w:numPr>
        <w:rPr>
          <w:rFonts w:ascii="Arial" w:hAnsi="Arial" w:cs="Arial"/>
          <w:b/>
          <w:bCs/>
        </w:rPr>
      </w:pPr>
      <w:r w:rsidRPr="00CE08D5">
        <w:rPr>
          <w:rFonts w:ascii="Arial" w:hAnsi="Arial" w:cs="Arial"/>
        </w:rPr>
        <w:t>Understand how and why to make a partial disposition election.</w:t>
      </w:r>
    </w:p>
    <w:p w14:paraId="02F65EA9" w14:textId="77777777" w:rsidR="00F12E7A" w:rsidRDefault="00F12E7A" w:rsidP="002711EA">
      <w:pPr>
        <w:rPr>
          <w:rFonts w:ascii="Arial" w:hAnsi="Arial" w:cs="Arial"/>
          <w:b/>
          <w:bCs/>
        </w:rPr>
      </w:pPr>
    </w:p>
    <w:p w14:paraId="765091D4" w14:textId="77777777" w:rsidR="00F12E7A" w:rsidRDefault="00F12E7A" w:rsidP="002711EA">
      <w:pPr>
        <w:rPr>
          <w:rFonts w:ascii="Arial" w:hAnsi="Arial" w:cs="Arial"/>
          <w:b/>
          <w:bCs/>
        </w:rPr>
      </w:pPr>
    </w:p>
    <w:p w14:paraId="2E4A6713" w14:textId="77777777" w:rsidR="00F12E7A" w:rsidRDefault="00F12E7A" w:rsidP="002711EA">
      <w:pPr>
        <w:rPr>
          <w:rFonts w:ascii="Arial" w:hAnsi="Arial" w:cs="Arial"/>
          <w:b/>
          <w:bCs/>
        </w:rPr>
      </w:pPr>
    </w:p>
    <w:sectPr w:rsidR="00F12E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4A04"/>
    <w:multiLevelType w:val="hybridMultilevel"/>
    <w:tmpl w:val="B3068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2530EF"/>
    <w:multiLevelType w:val="hybridMultilevel"/>
    <w:tmpl w:val="FBF0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55EF9"/>
    <w:multiLevelType w:val="hybridMultilevel"/>
    <w:tmpl w:val="90F46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8434A"/>
    <w:multiLevelType w:val="hybridMultilevel"/>
    <w:tmpl w:val="71424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3A2B99"/>
    <w:multiLevelType w:val="multilevel"/>
    <w:tmpl w:val="AE4895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 w15:restartNumberingAfterBreak="0">
    <w:nsid w:val="344032E8"/>
    <w:multiLevelType w:val="hybridMultilevel"/>
    <w:tmpl w:val="633EA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FE3426"/>
    <w:multiLevelType w:val="hybridMultilevel"/>
    <w:tmpl w:val="C3FAE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B69EE"/>
    <w:multiLevelType w:val="hybridMultilevel"/>
    <w:tmpl w:val="5250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33FFF"/>
    <w:multiLevelType w:val="hybridMultilevel"/>
    <w:tmpl w:val="A7166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DB3F90"/>
    <w:multiLevelType w:val="hybridMultilevel"/>
    <w:tmpl w:val="6CE03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C613ED"/>
    <w:multiLevelType w:val="hybridMultilevel"/>
    <w:tmpl w:val="5340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793A78"/>
    <w:multiLevelType w:val="hybridMultilevel"/>
    <w:tmpl w:val="A8C8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15BA6"/>
    <w:multiLevelType w:val="hybridMultilevel"/>
    <w:tmpl w:val="6742C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06521A"/>
    <w:multiLevelType w:val="hybridMultilevel"/>
    <w:tmpl w:val="C9B4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5E34BC"/>
    <w:multiLevelType w:val="hybridMultilevel"/>
    <w:tmpl w:val="85A48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93B0E46"/>
    <w:multiLevelType w:val="hybridMultilevel"/>
    <w:tmpl w:val="A9B2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84E6D"/>
    <w:multiLevelType w:val="hybridMultilevel"/>
    <w:tmpl w:val="BFBA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255771">
    <w:abstractNumId w:val="5"/>
  </w:num>
  <w:num w:numId="2" w16cid:durableId="912159177">
    <w:abstractNumId w:val="8"/>
  </w:num>
  <w:num w:numId="3" w16cid:durableId="1559705689">
    <w:abstractNumId w:val="14"/>
  </w:num>
  <w:num w:numId="4" w16cid:durableId="724447157">
    <w:abstractNumId w:val="16"/>
  </w:num>
  <w:num w:numId="5" w16cid:durableId="1201745962">
    <w:abstractNumId w:val="12"/>
  </w:num>
  <w:num w:numId="6" w16cid:durableId="472604007">
    <w:abstractNumId w:val="0"/>
  </w:num>
  <w:num w:numId="7" w16cid:durableId="1528568647">
    <w:abstractNumId w:val="6"/>
  </w:num>
  <w:num w:numId="8" w16cid:durableId="1148326764">
    <w:abstractNumId w:val="9"/>
  </w:num>
  <w:num w:numId="9" w16cid:durableId="471018768">
    <w:abstractNumId w:val="15"/>
  </w:num>
  <w:num w:numId="10" w16cid:durableId="214198833">
    <w:abstractNumId w:val="3"/>
  </w:num>
  <w:num w:numId="11" w16cid:durableId="1024747265">
    <w:abstractNumId w:val="4"/>
  </w:num>
  <w:num w:numId="12" w16cid:durableId="1824665576">
    <w:abstractNumId w:val="2"/>
  </w:num>
  <w:num w:numId="13" w16cid:durableId="1440101841">
    <w:abstractNumId w:val="10"/>
  </w:num>
  <w:num w:numId="14" w16cid:durableId="891036725">
    <w:abstractNumId w:val="7"/>
  </w:num>
  <w:num w:numId="15" w16cid:durableId="2014257986">
    <w:abstractNumId w:val="11"/>
  </w:num>
  <w:num w:numId="16" w16cid:durableId="332488616">
    <w:abstractNumId w:val="13"/>
  </w:num>
  <w:num w:numId="17" w16cid:durableId="1892568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64"/>
    <w:rsid w:val="000116CB"/>
    <w:rsid w:val="000366DE"/>
    <w:rsid w:val="00036FFC"/>
    <w:rsid w:val="000A62E2"/>
    <w:rsid w:val="000E257E"/>
    <w:rsid w:val="00110B80"/>
    <w:rsid w:val="00136CC7"/>
    <w:rsid w:val="0014471B"/>
    <w:rsid w:val="0018255A"/>
    <w:rsid w:val="001A272D"/>
    <w:rsid w:val="00206633"/>
    <w:rsid w:val="00215CD6"/>
    <w:rsid w:val="00250305"/>
    <w:rsid w:val="002654A4"/>
    <w:rsid w:val="002711EA"/>
    <w:rsid w:val="002F29CE"/>
    <w:rsid w:val="003112F5"/>
    <w:rsid w:val="00311880"/>
    <w:rsid w:val="003241A4"/>
    <w:rsid w:val="00325F53"/>
    <w:rsid w:val="00327711"/>
    <w:rsid w:val="00346D69"/>
    <w:rsid w:val="0035374C"/>
    <w:rsid w:val="00362AE3"/>
    <w:rsid w:val="003E1906"/>
    <w:rsid w:val="004145A1"/>
    <w:rsid w:val="00447F63"/>
    <w:rsid w:val="00454F13"/>
    <w:rsid w:val="00482091"/>
    <w:rsid w:val="004A4944"/>
    <w:rsid w:val="004A708D"/>
    <w:rsid w:val="004B2093"/>
    <w:rsid w:val="004D0B02"/>
    <w:rsid w:val="004D37A3"/>
    <w:rsid w:val="005265E7"/>
    <w:rsid w:val="00527ACD"/>
    <w:rsid w:val="00544E77"/>
    <w:rsid w:val="00571FA5"/>
    <w:rsid w:val="00597EBA"/>
    <w:rsid w:val="005B2F79"/>
    <w:rsid w:val="005E60AD"/>
    <w:rsid w:val="0060694E"/>
    <w:rsid w:val="00624E49"/>
    <w:rsid w:val="006B40AB"/>
    <w:rsid w:val="006F3471"/>
    <w:rsid w:val="00742192"/>
    <w:rsid w:val="0077225A"/>
    <w:rsid w:val="007800DD"/>
    <w:rsid w:val="00780BED"/>
    <w:rsid w:val="007B04BB"/>
    <w:rsid w:val="007B0564"/>
    <w:rsid w:val="007C46A6"/>
    <w:rsid w:val="007C4F9A"/>
    <w:rsid w:val="007C7D3F"/>
    <w:rsid w:val="007D387F"/>
    <w:rsid w:val="007F3766"/>
    <w:rsid w:val="00835DC9"/>
    <w:rsid w:val="008368A6"/>
    <w:rsid w:val="008532FE"/>
    <w:rsid w:val="008627D5"/>
    <w:rsid w:val="008715E9"/>
    <w:rsid w:val="00881AFD"/>
    <w:rsid w:val="00884E21"/>
    <w:rsid w:val="008C0C01"/>
    <w:rsid w:val="008D6898"/>
    <w:rsid w:val="008E1016"/>
    <w:rsid w:val="009039A3"/>
    <w:rsid w:val="0091349F"/>
    <w:rsid w:val="009342C9"/>
    <w:rsid w:val="009469E3"/>
    <w:rsid w:val="00951EEE"/>
    <w:rsid w:val="0097327A"/>
    <w:rsid w:val="009B6769"/>
    <w:rsid w:val="009E52B1"/>
    <w:rsid w:val="00A00E8E"/>
    <w:rsid w:val="00A0671F"/>
    <w:rsid w:val="00A07197"/>
    <w:rsid w:val="00A14A9E"/>
    <w:rsid w:val="00A14B53"/>
    <w:rsid w:val="00A302C8"/>
    <w:rsid w:val="00AB3A72"/>
    <w:rsid w:val="00B53845"/>
    <w:rsid w:val="00B601B1"/>
    <w:rsid w:val="00B843B5"/>
    <w:rsid w:val="00B87621"/>
    <w:rsid w:val="00BB210B"/>
    <w:rsid w:val="00BC7941"/>
    <w:rsid w:val="00BD438D"/>
    <w:rsid w:val="00C2219D"/>
    <w:rsid w:val="00C2664B"/>
    <w:rsid w:val="00C33460"/>
    <w:rsid w:val="00C43915"/>
    <w:rsid w:val="00C47A4C"/>
    <w:rsid w:val="00C610A0"/>
    <w:rsid w:val="00C62A20"/>
    <w:rsid w:val="00C75C2A"/>
    <w:rsid w:val="00CD44B9"/>
    <w:rsid w:val="00CE08D5"/>
    <w:rsid w:val="00D01B01"/>
    <w:rsid w:val="00D24C8F"/>
    <w:rsid w:val="00D562FA"/>
    <w:rsid w:val="00D6696E"/>
    <w:rsid w:val="00D96E90"/>
    <w:rsid w:val="00DB514D"/>
    <w:rsid w:val="00E34ACF"/>
    <w:rsid w:val="00EA6C4A"/>
    <w:rsid w:val="00EB1014"/>
    <w:rsid w:val="00EF222D"/>
    <w:rsid w:val="00F07660"/>
    <w:rsid w:val="00F1016F"/>
    <w:rsid w:val="00F12E7A"/>
    <w:rsid w:val="00F3222B"/>
    <w:rsid w:val="00F37C7C"/>
    <w:rsid w:val="00F73738"/>
    <w:rsid w:val="00F74A2E"/>
    <w:rsid w:val="00F763C0"/>
    <w:rsid w:val="00F81ABD"/>
    <w:rsid w:val="00F936A5"/>
    <w:rsid w:val="00FA0D39"/>
    <w:rsid w:val="00FB09B3"/>
    <w:rsid w:val="00FC4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8A4A"/>
  <w15:chartTrackingRefBased/>
  <w15:docId w15:val="{1D693F60-8E78-426B-B35A-E780225F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0B80"/>
    <w:pPr>
      <w:spacing w:after="0" w:line="240" w:lineRule="auto"/>
    </w:pPr>
    <w:rPr>
      <w:sz w:val="22"/>
      <w:szCs w:val="22"/>
    </w:rPr>
  </w:style>
  <w:style w:type="paragraph" w:styleId="ListParagraph">
    <w:name w:val="List Paragraph"/>
    <w:basedOn w:val="Normal"/>
    <w:uiPriority w:val="34"/>
    <w:qFormat/>
    <w:rsid w:val="007C46A6"/>
    <w:pPr>
      <w:spacing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83823">
      <w:bodyDiv w:val="1"/>
      <w:marLeft w:val="0"/>
      <w:marRight w:val="0"/>
      <w:marTop w:val="0"/>
      <w:marBottom w:val="0"/>
      <w:divBdr>
        <w:top w:val="none" w:sz="0" w:space="0" w:color="auto"/>
        <w:left w:val="none" w:sz="0" w:space="0" w:color="auto"/>
        <w:bottom w:val="none" w:sz="0" w:space="0" w:color="auto"/>
        <w:right w:val="none" w:sz="0" w:space="0" w:color="auto"/>
      </w:divBdr>
    </w:div>
    <w:div w:id="1006128759">
      <w:bodyDiv w:val="1"/>
      <w:marLeft w:val="0"/>
      <w:marRight w:val="0"/>
      <w:marTop w:val="0"/>
      <w:marBottom w:val="0"/>
      <w:divBdr>
        <w:top w:val="none" w:sz="0" w:space="0" w:color="auto"/>
        <w:left w:val="none" w:sz="0" w:space="0" w:color="auto"/>
        <w:bottom w:val="none" w:sz="0" w:space="0" w:color="auto"/>
        <w:right w:val="none" w:sz="0" w:space="0" w:color="auto"/>
      </w:divBdr>
    </w:div>
    <w:div w:id="1135179267">
      <w:bodyDiv w:val="1"/>
      <w:marLeft w:val="0"/>
      <w:marRight w:val="0"/>
      <w:marTop w:val="0"/>
      <w:marBottom w:val="0"/>
      <w:divBdr>
        <w:top w:val="none" w:sz="0" w:space="0" w:color="auto"/>
        <w:left w:val="none" w:sz="0" w:space="0" w:color="auto"/>
        <w:bottom w:val="none" w:sz="0" w:space="0" w:color="auto"/>
        <w:right w:val="none" w:sz="0" w:space="0" w:color="auto"/>
      </w:divBdr>
    </w:div>
    <w:div w:id="1767844347">
      <w:bodyDiv w:val="1"/>
      <w:marLeft w:val="0"/>
      <w:marRight w:val="0"/>
      <w:marTop w:val="0"/>
      <w:marBottom w:val="0"/>
      <w:divBdr>
        <w:top w:val="none" w:sz="0" w:space="0" w:color="auto"/>
        <w:left w:val="none" w:sz="0" w:space="0" w:color="auto"/>
        <w:bottom w:val="none" w:sz="0" w:space="0" w:color="auto"/>
        <w:right w:val="none" w:sz="0" w:space="0" w:color="auto"/>
      </w:divBdr>
    </w:div>
    <w:div w:id="181522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Orzechowski</dc:creator>
  <cp:keywords/>
  <dc:description/>
  <cp:lastModifiedBy>James Cox</cp:lastModifiedBy>
  <cp:revision>2</cp:revision>
  <cp:lastPrinted>2022-11-27T16:25:00Z</cp:lastPrinted>
  <dcterms:created xsi:type="dcterms:W3CDTF">2024-12-19T15:57:00Z</dcterms:created>
  <dcterms:modified xsi:type="dcterms:W3CDTF">2024-12-19T15:57:00Z</dcterms:modified>
</cp:coreProperties>
</file>